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113FE" w:rsidRDefault="00B113FE" w:rsidP="00C619FF">
      <w:pPr>
        <w:pStyle w:val="Header"/>
        <w:tabs>
          <w:tab w:val="clear" w:pos="4320"/>
          <w:tab w:val="center" w:pos="1418"/>
        </w:tabs>
        <w:rPr>
          <w:rFonts w:ascii="Arial" w:hAnsi="Arial" w:cs="Arial"/>
          <w:b/>
          <w:i/>
          <w:sz w:val="40"/>
          <w:szCs w:val="36"/>
        </w:rPr>
      </w:pPr>
    </w:p>
    <w:p w:rsidR="007A2AE9" w:rsidRPr="00B113FE" w:rsidRDefault="007A2AE9" w:rsidP="007A2AE9">
      <w:pPr>
        <w:pStyle w:val="Header"/>
        <w:tabs>
          <w:tab w:val="clear" w:pos="4320"/>
          <w:tab w:val="center" w:pos="1418"/>
        </w:tabs>
        <w:jc w:val="center"/>
        <w:rPr>
          <w:rFonts w:ascii="Arial" w:hAnsi="Arial" w:cs="Arial"/>
          <w:b/>
          <w:i/>
          <w:sz w:val="40"/>
          <w:szCs w:val="36"/>
        </w:rPr>
      </w:pPr>
      <w:r w:rsidRPr="00B113FE">
        <w:rPr>
          <w:rFonts w:ascii="Arial" w:hAnsi="Arial" w:cs="Arial"/>
          <w:b/>
          <w:i/>
          <w:sz w:val="40"/>
          <w:szCs w:val="36"/>
        </w:rPr>
        <w:t>The Cumulative Effects of Hi</w:t>
      </w:r>
      <w:r w:rsidR="00C544DE">
        <w:rPr>
          <w:rFonts w:ascii="Arial" w:hAnsi="Arial" w:cs="Arial"/>
          <w:b/>
          <w:i/>
          <w:sz w:val="40"/>
          <w:szCs w:val="36"/>
        </w:rPr>
        <w:t>storic, Current and Future Land-u</w:t>
      </w:r>
      <w:r w:rsidRPr="00B113FE">
        <w:rPr>
          <w:rFonts w:ascii="Arial" w:hAnsi="Arial" w:cs="Arial"/>
          <w:b/>
          <w:i/>
          <w:sz w:val="40"/>
          <w:szCs w:val="36"/>
        </w:rPr>
        <w:t xml:space="preserve">ses on the Peoples and Landscape of Cold Lake First Nations  </w:t>
      </w:r>
    </w:p>
    <w:p w:rsidR="007A2AE9" w:rsidRPr="004963C4" w:rsidRDefault="007A2AE9" w:rsidP="007A2AE9">
      <w:pPr>
        <w:pStyle w:val="Header"/>
        <w:tabs>
          <w:tab w:val="clear" w:pos="4320"/>
          <w:tab w:val="center" w:pos="1418"/>
        </w:tabs>
        <w:rPr>
          <w:rFonts w:ascii="Arial" w:hAnsi="Arial" w:cs="Arial"/>
          <w:b/>
          <w:sz w:val="36"/>
          <w:szCs w:val="36"/>
        </w:rPr>
      </w:pPr>
    </w:p>
    <w:p w:rsidR="007A2AE9" w:rsidRPr="0003272B" w:rsidRDefault="007A2AE9" w:rsidP="007A2AE9">
      <w:pPr>
        <w:pStyle w:val="Header"/>
        <w:tabs>
          <w:tab w:val="clear" w:pos="4320"/>
          <w:tab w:val="center" w:pos="1418"/>
        </w:tabs>
        <w:rPr>
          <w:rFonts w:ascii="Arial" w:hAnsi="Arial" w:cs="Arial"/>
          <w:b/>
          <w:sz w:val="36"/>
          <w:szCs w:val="36"/>
        </w:rPr>
      </w:pPr>
      <w:r w:rsidRPr="004963C4">
        <w:rPr>
          <w:rFonts w:ascii="Arial" w:hAnsi="Arial" w:cs="Arial"/>
          <w:b/>
          <w:sz w:val="36"/>
          <w:szCs w:val="36"/>
        </w:rPr>
        <w:t xml:space="preserve"> </w:t>
      </w:r>
    </w:p>
    <w:p w:rsidR="007A2AE9" w:rsidRDefault="007A2AE9" w:rsidP="007A2AE9">
      <w:pPr>
        <w:rPr>
          <w:lang w:val="en-US"/>
        </w:rPr>
      </w:pPr>
    </w:p>
    <w:p w:rsidR="002B4C72" w:rsidRDefault="002B4C72" w:rsidP="007A2AE9">
      <w:pPr>
        <w:jc w:val="center"/>
        <w:rPr>
          <w:lang w:val="en-US"/>
        </w:rPr>
      </w:pPr>
    </w:p>
    <w:p w:rsidR="002B4C72" w:rsidRDefault="002B4C72" w:rsidP="007A2AE9">
      <w:pPr>
        <w:jc w:val="center"/>
        <w:rPr>
          <w:lang w:val="en-US"/>
        </w:rPr>
      </w:pPr>
    </w:p>
    <w:p w:rsidR="007A2AE9" w:rsidRDefault="007A2AE9" w:rsidP="007A2AE9">
      <w:pPr>
        <w:jc w:val="center"/>
        <w:rPr>
          <w:lang w:val="en-US"/>
        </w:rPr>
      </w:pPr>
      <w:r>
        <w:rPr>
          <w:noProof/>
          <w:lang w:val="en-US"/>
        </w:rPr>
        <w:drawing>
          <wp:inline distT="0" distB="0" distL="0" distR="0">
            <wp:extent cx="5943600" cy="3143131"/>
            <wp:effectExtent l="19050" t="19050" r="19050" b="19169"/>
            <wp:docPr id="2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 cstate="print"/>
                    <a:srcRect/>
                    <a:stretch>
                      <a:fillRect/>
                    </a:stretch>
                  </pic:blipFill>
                  <pic:spPr bwMode="auto">
                    <a:xfrm>
                      <a:off x="0" y="0"/>
                      <a:ext cx="5943600" cy="3143131"/>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7A2AE9" w:rsidRDefault="007A2AE9" w:rsidP="007A2AE9">
      <w:pPr>
        <w:rPr>
          <w:lang w:val="en-US"/>
        </w:rPr>
      </w:pPr>
    </w:p>
    <w:p w:rsidR="007A2AE9" w:rsidRDefault="007A2AE9" w:rsidP="007A2AE9">
      <w:pPr>
        <w:rPr>
          <w:lang w:val="en-US"/>
        </w:rPr>
      </w:pPr>
    </w:p>
    <w:p w:rsidR="007A2AE9" w:rsidRDefault="007A2AE9" w:rsidP="007A2AE9">
      <w:pPr>
        <w:rPr>
          <w:lang w:val="en-US"/>
        </w:rPr>
      </w:pPr>
    </w:p>
    <w:p w:rsidR="002B4C72" w:rsidRDefault="002B4C72" w:rsidP="007A2AE9">
      <w:pPr>
        <w:rPr>
          <w:lang w:val="en-US"/>
        </w:rPr>
      </w:pPr>
    </w:p>
    <w:p w:rsidR="002B4C72" w:rsidRDefault="002B4C72" w:rsidP="007A2AE9">
      <w:pPr>
        <w:rPr>
          <w:lang w:val="en-US"/>
        </w:rPr>
      </w:pPr>
    </w:p>
    <w:p w:rsidR="002B4C72" w:rsidRDefault="002B4C72" w:rsidP="007A2AE9">
      <w:pPr>
        <w:rPr>
          <w:lang w:val="en-US"/>
        </w:rPr>
      </w:pPr>
    </w:p>
    <w:p w:rsidR="007A2AE9" w:rsidRPr="004963C4" w:rsidRDefault="007A2AE9" w:rsidP="007A2AE9">
      <w:pPr>
        <w:rPr>
          <w:lang w:val="en-US"/>
        </w:rPr>
      </w:pPr>
    </w:p>
    <w:p w:rsidR="007A2AE9" w:rsidRPr="004963C4" w:rsidRDefault="007A2AE9" w:rsidP="007A2AE9">
      <w:pPr>
        <w:rPr>
          <w:lang w:val="en-US"/>
        </w:rPr>
      </w:pPr>
    </w:p>
    <w:p w:rsidR="007A2AE9" w:rsidRPr="000D6CF7" w:rsidRDefault="007A2AE9" w:rsidP="007A2AE9">
      <w:pPr>
        <w:jc w:val="center"/>
        <w:rPr>
          <w:b/>
          <w:i/>
          <w:sz w:val="32"/>
          <w:lang w:val="en-US"/>
        </w:rPr>
      </w:pPr>
      <w:r w:rsidRPr="000D6CF7">
        <w:rPr>
          <w:b/>
          <w:i/>
          <w:sz w:val="32"/>
          <w:lang w:val="en-US"/>
        </w:rPr>
        <w:t>Prepared for the Cold Lake First Nations</w:t>
      </w:r>
    </w:p>
    <w:p w:rsidR="007A2AE9" w:rsidRPr="000D6CF7" w:rsidRDefault="007A2AE9" w:rsidP="007A2AE9">
      <w:pPr>
        <w:jc w:val="center"/>
        <w:rPr>
          <w:b/>
          <w:i/>
          <w:sz w:val="32"/>
          <w:lang w:val="en-US"/>
        </w:rPr>
      </w:pPr>
    </w:p>
    <w:p w:rsidR="007A2AE9" w:rsidRPr="000D6CF7" w:rsidRDefault="007A2AE9" w:rsidP="007A2AE9">
      <w:pPr>
        <w:jc w:val="center"/>
        <w:rPr>
          <w:b/>
          <w:i/>
          <w:sz w:val="32"/>
          <w:lang w:val="en-US"/>
        </w:rPr>
      </w:pPr>
      <w:r w:rsidRPr="000D6CF7">
        <w:rPr>
          <w:b/>
          <w:i/>
          <w:sz w:val="32"/>
          <w:lang w:val="en-US"/>
        </w:rPr>
        <w:t xml:space="preserve">Prepared by ALCES </w:t>
      </w:r>
      <w:r>
        <w:rPr>
          <w:b/>
          <w:i/>
          <w:sz w:val="32"/>
          <w:lang w:val="en-US"/>
        </w:rPr>
        <w:t xml:space="preserve">Landscape and </w:t>
      </w:r>
      <w:r w:rsidR="00C544DE">
        <w:rPr>
          <w:b/>
          <w:i/>
          <w:sz w:val="32"/>
          <w:lang w:val="en-US"/>
        </w:rPr>
        <w:t>Land-use</w:t>
      </w:r>
      <w:r>
        <w:rPr>
          <w:b/>
          <w:i/>
          <w:sz w:val="32"/>
          <w:lang w:val="en-US"/>
        </w:rPr>
        <w:t xml:space="preserve"> Ltd</w:t>
      </w:r>
    </w:p>
    <w:p w:rsidR="007A2AE9" w:rsidRDefault="007A2AE9" w:rsidP="007A2AE9">
      <w:pPr>
        <w:jc w:val="center"/>
        <w:rPr>
          <w:lang w:val="en-US"/>
        </w:rPr>
      </w:pPr>
    </w:p>
    <w:p w:rsidR="007A2AE9" w:rsidRDefault="007A2AE9" w:rsidP="007A2AE9">
      <w:pPr>
        <w:jc w:val="center"/>
        <w:rPr>
          <w:lang w:val="en-US"/>
        </w:rPr>
      </w:pPr>
    </w:p>
    <w:p w:rsidR="007A2AE9" w:rsidRDefault="007A2AE9" w:rsidP="007A2AE9">
      <w:pPr>
        <w:rPr>
          <w:lang w:val="en-US"/>
        </w:rPr>
      </w:pPr>
    </w:p>
    <w:p w:rsidR="007A2AE9" w:rsidRDefault="007A2AE9" w:rsidP="007A2AE9">
      <w:pPr>
        <w:jc w:val="center"/>
        <w:rPr>
          <w:lang w:val="en-US"/>
        </w:rPr>
      </w:pPr>
    </w:p>
    <w:p w:rsidR="00DE1D13" w:rsidRDefault="00DE1D13" w:rsidP="00E613B9">
      <w:pPr>
        <w:pStyle w:val="Header"/>
        <w:tabs>
          <w:tab w:val="clear" w:pos="4320"/>
          <w:tab w:val="center" w:pos="1418"/>
        </w:tabs>
        <w:jc w:val="center"/>
        <w:rPr>
          <w:rFonts w:ascii="Arial" w:hAnsi="Arial" w:cs="Arial"/>
          <w:b/>
          <w:i/>
          <w:sz w:val="40"/>
          <w:szCs w:val="36"/>
        </w:rPr>
      </w:pPr>
    </w:p>
    <w:p w:rsidR="00DE1D13" w:rsidRDefault="00DE1D13" w:rsidP="00E613B9">
      <w:pPr>
        <w:pStyle w:val="Header"/>
        <w:tabs>
          <w:tab w:val="clear" w:pos="4320"/>
          <w:tab w:val="center" w:pos="1418"/>
        </w:tabs>
        <w:jc w:val="center"/>
        <w:rPr>
          <w:rFonts w:ascii="Arial" w:hAnsi="Arial" w:cs="Arial"/>
          <w:b/>
          <w:i/>
          <w:sz w:val="40"/>
          <w:szCs w:val="36"/>
        </w:rPr>
      </w:pPr>
    </w:p>
    <w:p w:rsidR="006469D5" w:rsidRPr="00B113FE" w:rsidRDefault="003E12AB" w:rsidP="00E613B9">
      <w:pPr>
        <w:pStyle w:val="Header"/>
        <w:tabs>
          <w:tab w:val="clear" w:pos="4320"/>
          <w:tab w:val="center" w:pos="1418"/>
        </w:tabs>
        <w:jc w:val="center"/>
        <w:rPr>
          <w:rFonts w:ascii="Arial" w:hAnsi="Arial" w:cs="Arial"/>
          <w:b/>
          <w:i/>
          <w:sz w:val="40"/>
          <w:szCs w:val="36"/>
        </w:rPr>
      </w:pPr>
      <w:r w:rsidRPr="00B113FE">
        <w:rPr>
          <w:rFonts w:ascii="Arial" w:hAnsi="Arial" w:cs="Arial"/>
          <w:b/>
          <w:i/>
          <w:sz w:val="40"/>
          <w:szCs w:val="36"/>
        </w:rPr>
        <w:t xml:space="preserve">The Cumulative Effects of </w:t>
      </w:r>
      <w:r w:rsidR="00E613B9" w:rsidRPr="00B113FE">
        <w:rPr>
          <w:rFonts w:ascii="Arial" w:hAnsi="Arial" w:cs="Arial"/>
          <w:b/>
          <w:i/>
          <w:sz w:val="40"/>
          <w:szCs w:val="36"/>
        </w:rPr>
        <w:t xml:space="preserve">Historic, </w:t>
      </w:r>
      <w:r w:rsidR="008108D3" w:rsidRPr="00B113FE">
        <w:rPr>
          <w:rFonts w:ascii="Arial" w:hAnsi="Arial" w:cs="Arial"/>
          <w:b/>
          <w:i/>
          <w:sz w:val="40"/>
          <w:szCs w:val="36"/>
        </w:rPr>
        <w:t xml:space="preserve">Current and Future </w:t>
      </w:r>
      <w:r w:rsidR="00C544DE">
        <w:rPr>
          <w:rFonts w:ascii="Arial" w:hAnsi="Arial" w:cs="Arial"/>
          <w:b/>
          <w:i/>
          <w:sz w:val="40"/>
          <w:szCs w:val="36"/>
        </w:rPr>
        <w:t>Land-use</w:t>
      </w:r>
      <w:r w:rsidRPr="00B113FE">
        <w:rPr>
          <w:rFonts w:ascii="Arial" w:hAnsi="Arial" w:cs="Arial"/>
          <w:b/>
          <w:i/>
          <w:sz w:val="40"/>
          <w:szCs w:val="36"/>
        </w:rPr>
        <w:t>s on the</w:t>
      </w:r>
      <w:r w:rsidR="00E613B9" w:rsidRPr="00B113FE">
        <w:rPr>
          <w:rFonts w:ascii="Arial" w:hAnsi="Arial" w:cs="Arial"/>
          <w:b/>
          <w:i/>
          <w:sz w:val="40"/>
          <w:szCs w:val="36"/>
        </w:rPr>
        <w:t xml:space="preserve"> Peoples and Landscape of </w:t>
      </w:r>
      <w:r w:rsidR="006469D5" w:rsidRPr="00B113FE">
        <w:rPr>
          <w:rFonts w:ascii="Arial" w:hAnsi="Arial" w:cs="Arial"/>
          <w:b/>
          <w:i/>
          <w:sz w:val="40"/>
          <w:szCs w:val="36"/>
        </w:rPr>
        <w:t xml:space="preserve">Cold Lake First Nations </w:t>
      </w:r>
      <w:r w:rsidRPr="00B113FE">
        <w:rPr>
          <w:rFonts w:ascii="Arial" w:hAnsi="Arial" w:cs="Arial"/>
          <w:b/>
          <w:i/>
          <w:sz w:val="40"/>
          <w:szCs w:val="36"/>
        </w:rPr>
        <w:t xml:space="preserve"> </w:t>
      </w:r>
    </w:p>
    <w:p w:rsidR="00CF2DC9" w:rsidRPr="004963C4" w:rsidRDefault="00CF2DC9" w:rsidP="000D6CF7">
      <w:pPr>
        <w:pStyle w:val="Header"/>
        <w:tabs>
          <w:tab w:val="clear" w:pos="4320"/>
          <w:tab w:val="center" w:pos="1418"/>
        </w:tabs>
        <w:rPr>
          <w:rFonts w:ascii="Arial" w:hAnsi="Arial" w:cs="Arial"/>
          <w:b/>
          <w:sz w:val="36"/>
          <w:szCs w:val="36"/>
        </w:rPr>
      </w:pPr>
    </w:p>
    <w:p w:rsidR="006469D5" w:rsidRPr="0003272B" w:rsidRDefault="006469D5" w:rsidP="0003272B">
      <w:pPr>
        <w:pStyle w:val="Header"/>
        <w:tabs>
          <w:tab w:val="clear" w:pos="4320"/>
          <w:tab w:val="center" w:pos="1418"/>
        </w:tabs>
        <w:rPr>
          <w:rFonts w:ascii="Arial" w:hAnsi="Arial" w:cs="Arial"/>
          <w:b/>
          <w:sz w:val="36"/>
          <w:szCs w:val="36"/>
        </w:rPr>
      </w:pPr>
      <w:r w:rsidRPr="004963C4">
        <w:rPr>
          <w:rFonts w:ascii="Arial" w:hAnsi="Arial" w:cs="Arial"/>
          <w:b/>
          <w:sz w:val="36"/>
          <w:szCs w:val="36"/>
        </w:rPr>
        <w:t xml:space="preserve"> </w:t>
      </w:r>
    </w:p>
    <w:p w:rsidR="006469D5" w:rsidRDefault="006469D5" w:rsidP="006469D5">
      <w:pPr>
        <w:rPr>
          <w:lang w:val="en-US"/>
        </w:rPr>
      </w:pPr>
    </w:p>
    <w:p w:rsidR="006469D5" w:rsidRDefault="00CF2DC9" w:rsidP="006469D5">
      <w:pPr>
        <w:jc w:val="center"/>
        <w:rPr>
          <w:lang w:val="en-US"/>
        </w:rPr>
      </w:pPr>
      <w:r>
        <w:rPr>
          <w:noProof/>
          <w:lang w:val="en-US"/>
        </w:rPr>
        <w:drawing>
          <wp:inline distT="0" distB="0" distL="0" distR="0">
            <wp:extent cx="5943600" cy="3143131"/>
            <wp:effectExtent l="19050" t="19050" r="19050" b="19169"/>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 cstate="print"/>
                    <a:srcRect/>
                    <a:stretch>
                      <a:fillRect/>
                    </a:stretch>
                  </pic:blipFill>
                  <pic:spPr bwMode="auto">
                    <a:xfrm>
                      <a:off x="0" y="0"/>
                      <a:ext cx="5943600" cy="3143131"/>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6469D5" w:rsidRDefault="006469D5" w:rsidP="006469D5">
      <w:pPr>
        <w:rPr>
          <w:lang w:val="en-US"/>
        </w:rPr>
      </w:pPr>
    </w:p>
    <w:p w:rsidR="006469D5" w:rsidRDefault="006469D5" w:rsidP="006469D5">
      <w:pPr>
        <w:rPr>
          <w:lang w:val="en-US"/>
        </w:rPr>
      </w:pPr>
    </w:p>
    <w:p w:rsidR="0053340D" w:rsidRDefault="0053340D" w:rsidP="006469D5">
      <w:pPr>
        <w:rPr>
          <w:lang w:val="en-US"/>
        </w:rPr>
      </w:pPr>
    </w:p>
    <w:p w:rsidR="0053340D" w:rsidRPr="004963C4" w:rsidRDefault="0053340D" w:rsidP="006469D5">
      <w:pPr>
        <w:rPr>
          <w:lang w:val="en-US"/>
        </w:rPr>
      </w:pPr>
    </w:p>
    <w:p w:rsidR="006469D5" w:rsidRPr="004963C4" w:rsidRDefault="006469D5" w:rsidP="006469D5">
      <w:pPr>
        <w:rPr>
          <w:lang w:val="en-US"/>
        </w:rPr>
      </w:pPr>
    </w:p>
    <w:p w:rsidR="00CF2DC9" w:rsidRPr="000D6CF7" w:rsidRDefault="00CF2DC9" w:rsidP="006469D5">
      <w:pPr>
        <w:jc w:val="center"/>
        <w:rPr>
          <w:b/>
          <w:i/>
          <w:sz w:val="32"/>
          <w:lang w:val="en-US"/>
        </w:rPr>
      </w:pPr>
      <w:r w:rsidRPr="000D6CF7">
        <w:rPr>
          <w:b/>
          <w:i/>
          <w:sz w:val="32"/>
          <w:lang w:val="en-US"/>
        </w:rPr>
        <w:t>Prepared for the Cold Lake First Nations</w:t>
      </w:r>
    </w:p>
    <w:p w:rsidR="00CF2DC9" w:rsidRPr="000D6CF7" w:rsidRDefault="00CF2DC9" w:rsidP="006469D5">
      <w:pPr>
        <w:jc w:val="center"/>
        <w:rPr>
          <w:b/>
          <w:i/>
          <w:sz w:val="32"/>
          <w:lang w:val="en-US"/>
        </w:rPr>
      </w:pPr>
    </w:p>
    <w:p w:rsidR="0082419B" w:rsidRPr="000D6CF7" w:rsidRDefault="006469D5" w:rsidP="006469D5">
      <w:pPr>
        <w:jc w:val="center"/>
        <w:rPr>
          <w:b/>
          <w:i/>
          <w:sz w:val="32"/>
          <w:lang w:val="en-US"/>
        </w:rPr>
      </w:pPr>
      <w:r w:rsidRPr="000D6CF7">
        <w:rPr>
          <w:b/>
          <w:i/>
          <w:sz w:val="32"/>
          <w:lang w:val="en-US"/>
        </w:rPr>
        <w:t xml:space="preserve">Prepared by ALCES </w:t>
      </w:r>
      <w:r w:rsidR="000D6CF7">
        <w:rPr>
          <w:b/>
          <w:i/>
          <w:sz w:val="32"/>
          <w:lang w:val="en-US"/>
        </w:rPr>
        <w:t xml:space="preserve">Landscape and </w:t>
      </w:r>
      <w:r w:rsidR="00C544DE">
        <w:rPr>
          <w:b/>
          <w:i/>
          <w:sz w:val="32"/>
          <w:lang w:val="en-US"/>
        </w:rPr>
        <w:t>Land-use</w:t>
      </w:r>
      <w:r w:rsidR="000D6CF7">
        <w:rPr>
          <w:b/>
          <w:i/>
          <w:sz w:val="32"/>
          <w:lang w:val="en-US"/>
        </w:rPr>
        <w:t xml:space="preserve"> Ltd</w:t>
      </w:r>
    </w:p>
    <w:p w:rsidR="0082419B" w:rsidRDefault="0082419B" w:rsidP="006469D5">
      <w:pPr>
        <w:jc w:val="center"/>
        <w:rPr>
          <w:lang w:val="en-US"/>
        </w:rPr>
      </w:pPr>
    </w:p>
    <w:p w:rsidR="0082419B" w:rsidRDefault="0082419B" w:rsidP="006469D5">
      <w:pPr>
        <w:jc w:val="center"/>
        <w:rPr>
          <w:lang w:val="en-US"/>
        </w:rPr>
      </w:pPr>
    </w:p>
    <w:p w:rsidR="0082419B" w:rsidRDefault="0082419B" w:rsidP="000D6CF7">
      <w:pPr>
        <w:rPr>
          <w:lang w:val="en-US"/>
        </w:rPr>
      </w:pPr>
    </w:p>
    <w:p w:rsidR="006469D5" w:rsidRPr="004963C4" w:rsidRDefault="006469D5" w:rsidP="000472D6">
      <w:pPr>
        <w:jc w:val="right"/>
        <w:rPr>
          <w:rFonts w:ascii="Arial" w:hAnsi="Arial" w:cs="Arial"/>
          <w:b/>
        </w:rPr>
      </w:pPr>
    </w:p>
    <w:p w:rsidR="006469D5" w:rsidRPr="004963C4" w:rsidRDefault="004F13DB" w:rsidP="006469D5">
      <w:pPr>
        <w:jc w:val="right"/>
        <w:rPr>
          <w:rFonts w:ascii="Arial" w:hAnsi="Arial" w:cs="Arial"/>
          <w:b/>
        </w:rPr>
      </w:pPr>
      <w:r>
        <w:rPr>
          <w:rFonts w:ascii="Arial" w:hAnsi="Arial" w:cs="Arial"/>
          <w:b/>
        </w:rPr>
        <w:t>October</w:t>
      </w:r>
      <w:r w:rsidR="006469D5">
        <w:rPr>
          <w:rFonts w:ascii="Arial" w:hAnsi="Arial" w:cs="Arial"/>
          <w:b/>
        </w:rPr>
        <w:t xml:space="preserve"> 2012</w:t>
      </w:r>
    </w:p>
    <w:p w:rsidR="00DD43B9" w:rsidRDefault="00DD43B9">
      <w:pPr>
        <w:spacing w:after="200" w:line="276" w:lineRule="auto"/>
        <w:rPr>
          <w:rFonts w:ascii="Arial" w:hAnsi="Arial"/>
          <w:b/>
          <w:bCs/>
          <w:caps/>
          <w:kern w:val="28"/>
          <w:sz w:val="22"/>
          <w:szCs w:val="20"/>
          <w:lang w:val="en-US"/>
        </w:rPr>
      </w:pPr>
      <w:bookmarkStart w:id="0" w:name="_Toc260385167"/>
      <w:r>
        <w:br w:type="page"/>
      </w:r>
    </w:p>
    <w:p w:rsidR="00C55A94" w:rsidRPr="002F0CA9" w:rsidRDefault="00C55A94" w:rsidP="00C55A94">
      <w:pPr>
        <w:pStyle w:val="Headingwithou-listoffigures"/>
      </w:pPr>
      <w:bookmarkStart w:id="1" w:name="_Toc338703673"/>
      <w:r w:rsidRPr="002F0CA9">
        <w:lastRenderedPageBreak/>
        <w:t>Overview</w:t>
      </w:r>
      <w:bookmarkEnd w:id="0"/>
      <w:bookmarkEnd w:id="1"/>
    </w:p>
    <w:p w:rsidR="00EF6CE0" w:rsidRDefault="00EF6CE0" w:rsidP="00EF6CE0">
      <w:pPr>
        <w:pStyle w:val="BodyText"/>
      </w:pPr>
      <w:r>
        <w:t xml:space="preserve">The </w:t>
      </w:r>
      <w:r w:rsidR="00E91DEC">
        <w:t>Cold Lake First Nations (CLFN)</w:t>
      </w:r>
      <w:r>
        <w:t xml:space="preserve"> ALCES project described in this report was triggered by </w:t>
      </w:r>
      <w:r w:rsidR="00A502AC">
        <w:t>an understanding  by CLFN that individual environmental impact assessments (EIA) are inadequate in scale, scope and temporal dimension</w:t>
      </w:r>
      <w:r>
        <w:t xml:space="preserve"> </w:t>
      </w:r>
      <w:r w:rsidR="00A502AC">
        <w:t>to properly inform the community about both benefits or liabilities of multiple overlapping land uses. An individual</w:t>
      </w:r>
      <w:r>
        <w:t xml:space="preserve"> project is not necessarily unusual in technology, scale, or scope</w:t>
      </w:r>
      <w:r w:rsidR="00A502AC">
        <w:t xml:space="preserve"> in comparison to others</w:t>
      </w:r>
      <w:r>
        <w:t xml:space="preserve">. It is but one example of many that have preceded it, and one of dozens to hundreds of projects that will emerge on the CLFN traditional lands in decades to come. </w:t>
      </w:r>
      <w:r w:rsidR="00A502AC">
        <w:t xml:space="preserve"> </w:t>
      </w:r>
    </w:p>
    <w:p w:rsidR="00EF6CE0" w:rsidRDefault="00EF6CE0" w:rsidP="00EF6CE0">
      <w:pPr>
        <w:pStyle w:val="BodyText"/>
      </w:pPr>
      <w:r>
        <w:t xml:space="preserve">Like many stories dealing with aboriginal culture and modern </w:t>
      </w:r>
      <w:r w:rsidR="00C544DE">
        <w:t>land-use</w:t>
      </w:r>
      <w:r>
        <w:t xml:space="preserve">, this one is neither simple nor linear. It involves a First Nations whose landscape has changed rapidly, who continue to aspire to </w:t>
      </w:r>
      <w:r w:rsidR="000857E3">
        <w:t>maintain a culturally rich</w:t>
      </w:r>
      <w:r>
        <w:t xml:space="preserve"> ability to participate in traditional activities (hunting, fishing, </w:t>
      </w:r>
      <w:r w:rsidR="000857E3">
        <w:t xml:space="preserve">trapping, </w:t>
      </w:r>
      <w:r>
        <w:t xml:space="preserve">gathering), but also recognize the need to embrace components of Alberta’s contemporary economies and society. This community has growing anxiety about the integrity of their Traditional Territory. Ultimately, CLFN argue they deserve a meaningful conversation about their destiny based upon a scientifically credible and realistic examination of the existing state of cumulative impacts upon their Traditional Territory. </w:t>
      </w:r>
      <w:r w:rsidR="000857E3">
        <w:t>CLFN is</w:t>
      </w:r>
      <w:r>
        <w:t xml:space="preserve"> also mindful of the probability of significantly more encroachment in the future. With this in mind, the CLFN have commissioned the CLFN ALCES project to determine the ecological, economic, social and cultural impacts of current and future oil extraction.</w:t>
      </w:r>
    </w:p>
    <w:p w:rsidR="009D458C" w:rsidRPr="002F0CA9" w:rsidRDefault="009D458C" w:rsidP="009D458C">
      <w:pPr>
        <w:pStyle w:val="BodyText"/>
        <w:rPr>
          <w:rFonts w:eastAsia="SimSun"/>
        </w:rPr>
      </w:pPr>
      <w:r w:rsidRPr="002F0CA9">
        <w:rPr>
          <w:rFonts w:eastAsia="SimSun"/>
        </w:rPr>
        <w:t xml:space="preserve">This report presents results of </w:t>
      </w:r>
      <w:r>
        <w:rPr>
          <w:rFonts w:eastAsia="SimSun"/>
        </w:rPr>
        <w:t xml:space="preserve">the CLFN </w:t>
      </w:r>
      <w:r w:rsidRPr="002F0CA9">
        <w:rPr>
          <w:rFonts w:eastAsia="SimSun"/>
        </w:rPr>
        <w:t>ALCES</w:t>
      </w:r>
      <w:r w:rsidRPr="00F45D6B">
        <w:rPr>
          <w:rFonts w:eastAsia="SimSun"/>
          <w:vertAlign w:val="superscript"/>
        </w:rPr>
        <w:t>®</w:t>
      </w:r>
      <w:r>
        <w:rPr>
          <w:rFonts w:eastAsia="SimSun"/>
        </w:rPr>
        <w:t xml:space="preserve"> </w:t>
      </w:r>
      <w:r w:rsidR="00C544DE">
        <w:rPr>
          <w:rFonts w:eastAsia="SimSun"/>
        </w:rPr>
        <w:t>land-use</w:t>
      </w:r>
      <w:r w:rsidRPr="002F0CA9">
        <w:rPr>
          <w:rFonts w:eastAsia="SimSun"/>
        </w:rPr>
        <w:t xml:space="preserve"> scenario modelling for the </w:t>
      </w:r>
      <w:r>
        <w:rPr>
          <w:rFonts w:eastAsia="SimSun"/>
        </w:rPr>
        <w:t>Cold Lake First Nations Study</w:t>
      </w:r>
      <w:r w:rsidRPr="002F0CA9">
        <w:rPr>
          <w:rFonts w:eastAsia="SimSun"/>
        </w:rPr>
        <w:t xml:space="preserve"> Area</w:t>
      </w:r>
      <w:r>
        <w:rPr>
          <w:rFonts w:eastAsia="SimSun"/>
        </w:rPr>
        <w:t xml:space="preserve"> (CLFN SA), which has been completed at the request of the Cold Lake First Nations (CLFN)</w:t>
      </w:r>
      <w:r w:rsidRPr="002F0CA9">
        <w:rPr>
          <w:rFonts w:eastAsia="SimSun"/>
        </w:rPr>
        <w:t>.</w:t>
      </w:r>
      <w:r>
        <w:t xml:space="preserve"> </w:t>
      </w:r>
      <w:r>
        <w:rPr>
          <w:rFonts w:eastAsia="SimSun"/>
        </w:rPr>
        <w:t>It uses the</w:t>
      </w:r>
      <w:r w:rsidRPr="002F0CA9">
        <w:rPr>
          <w:rFonts w:eastAsia="SimSun"/>
        </w:rPr>
        <w:t xml:space="preserve"> ALCES</w:t>
      </w:r>
      <w:r w:rsidRPr="00F45D6B">
        <w:rPr>
          <w:rFonts w:eastAsia="SimSun"/>
          <w:vertAlign w:val="superscript"/>
        </w:rPr>
        <w:t>®</w:t>
      </w:r>
      <w:r w:rsidRPr="002F0CA9">
        <w:rPr>
          <w:rFonts w:eastAsia="SimSun"/>
        </w:rPr>
        <w:t xml:space="preserve"> landscape </w:t>
      </w:r>
      <w:r>
        <w:rPr>
          <w:rFonts w:eastAsia="SimSun"/>
        </w:rPr>
        <w:t>cumulative effects simulation model (</w:t>
      </w:r>
      <w:hyperlink r:id="rId9" w:history="1">
        <w:r w:rsidRPr="00D4583A">
          <w:rPr>
            <w:rStyle w:val="Hyperlink"/>
            <w:rFonts w:eastAsia="SimSun"/>
          </w:rPr>
          <w:t>www.alces.ca</w:t>
        </w:r>
      </w:hyperlink>
      <w:r>
        <w:rPr>
          <w:rFonts w:eastAsia="SimSun"/>
        </w:rPr>
        <w:t xml:space="preserve">) </w:t>
      </w:r>
      <w:r w:rsidRPr="002F0CA9">
        <w:rPr>
          <w:rFonts w:eastAsia="SimSun"/>
        </w:rPr>
        <w:t xml:space="preserve">to </w:t>
      </w:r>
      <w:r>
        <w:rPr>
          <w:rFonts w:eastAsia="SimSun"/>
        </w:rPr>
        <w:t>examine</w:t>
      </w:r>
      <w:r w:rsidRPr="002F0CA9">
        <w:rPr>
          <w:rFonts w:eastAsia="SimSun"/>
        </w:rPr>
        <w:t xml:space="preserve"> and understand the</w:t>
      </w:r>
      <w:r>
        <w:rPr>
          <w:rFonts w:eastAsia="SimSun"/>
        </w:rPr>
        <w:t xml:space="preserve"> collective impact </w:t>
      </w:r>
      <w:r w:rsidRPr="002F0CA9">
        <w:rPr>
          <w:rFonts w:eastAsia="SimSun"/>
        </w:rPr>
        <w:t xml:space="preserve">of </w:t>
      </w:r>
      <w:r>
        <w:rPr>
          <w:rFonts w:eastAsia="SimSun"/>
        </w:rPr>
        <w:t>the region’s growing population, residential, agriculture, oil</w:t>
      </w:r>
      <w:r w:rsidRPr="002F0CA9">
        <w:rPr>
          <w:rFonts w:eastAsia="SimSun"/>
        </w:rPr>
        <w:t xml:space="preserve">, </w:t>
      </w:r>
      <w:r>
        <w:rPr>
          <w:rFonts w:eastAsia="SimSun"/>
        </w:rPr>
        <w:t xml:space="preserve">military, park, and </w:t>
      </w:r>
      <w:r w:rsidRPr="002F0CA9">
        <w:rPr>
          <w:rFonts w:eastAsia="SimSun"/>
        </w:rPr>
        <w:t>transportation</w:t>
      </w:r>
      <w:r>
        <w:rPr>
          <w:rFonts w:eastAsia="SimSun"/>
        </w:rPr>
        <w:t xml:space="preserve"> sector footprints, and to account for the historic, current and future growth trends in population and industrial activities. By tracking the impact of plausible future growth scenarios (currently driven by the energy sector) on leading indicators suc</w:t>
      </w:r>
      <w:r w:rsidR="00BA3AD0">
        <w:rPr>
          <w:rFonts w:eastAsia="SimSun"/>
        </w:rPr>
        <w:t xml:space="preserve">h as water quality and </w:t>
      </w:r>
      <w:r w:rsidR="00C544DE">
        <w:rPr>
          <w:rFonts w:eastAsia="SimSun"/>
        </w:rPr>
        <w:t>demand</w:t>
      </w:r>
      <w:r w:rsidR="00BA3AD0">
        <w:rPr>
          <w:rFonts w:eastAsia="SimSun"/>
        </w:rPr>
        <w:t>,</w:t>
      </w:r>
      <w:r>
        <w:rPr>
          <w:rFonts w:eastAsia="SimSun"/>
        </w:rPr>
        <w:t xml:space="preserve"> em</w:t>
      </w:r>
      <w:r w:rsidR="00C544DE">
        <w:rPr>
          <w:rFonts w:eastAsia="SimSun"/>
        </w:rPr>
        <w:t>ployment</w:t>
      </w:r>
      <w:r w:rsidR="00BA3AD0">
        <w:rPr>
          <w:rFonts w:eastAsia="SimSun"/>
        </w:rPr>
        <w:t>, air emissions,</w:t>
      </w:r>
      <w:r>
        <w:rPr>
          <w:rFonts w:eastAsia="SimSun"/>
        </w:rPr>
        <w:t xml:space="preserve"> </w:t>
      </w:r>
      <w:r w:rsidR="00C544DE">
        <w:rPr>
          <w:rFonts w:eastAsia="SimSun"/>
        </w:rPr>
        <w:t>and wildlife habitat</w:t>
      </w:r>
      <w:r>
        <w:rPr>
          <w:rFonts w:eastAsia="SimSun"/>
        </w:rPr>
        <w:t>, t</w:t>
      </w:r>
      <w:r w:rsidRPr="002F0CA9">
        <w:rPr>
          <w:rFonts w:eastAsia="SimSun"/>
        </w:rPr>
        <w:t>h</w:t>
      </w:r>
      <w:r>
        <w:rPr>
          <w:rFonts w:eastAsia="SimSun"/>
        </w:rPr>
        <w:t xml:space="preserve">e </w:t>
      </w:r>
      <w:r w:rsidRPr="002F0CA9">
        <w:rPr>
          <w:rFonts w:eastAsia="SimSun"/>
        </w:rPr>
        <w:t>ALCES</w:t>
      </w:r>
      <w:r w:rsidRPr="00F45D6B">
        <w:rPr>
          <w:rFonts w:eastAsia="SimSun"/>
          <w:vertAlign w:val="superscript"/>
        </w:rPr>
        <w:t>®</w:t>
      </w:r>
      <w:r>
        <w:rPr>
          <w:rFonts w:eastAsia="SimSun"/>
          <w:vertAlign w:val="superscript"/>
        </w:rPr>
        <w:t xml:space="preserve"> </w:t>
      </w:r>
      <w:r>
        <w:rPr>
          <w:rFonts w:eastAsia="SimSun"/>
        </w:rPr>
        <w:t>model can determine the potential economic, social and ecological outcomes of each growth scenario. The model also investigates the</w:t>
      </w:r>
      <w:r w:rsidRPr="002F0CA9">
        <w:rPr>
          <w:rFonts w:eastAsia="SimSun"/>
        </w:rPr>
        <w:t xml:space="preserve"> relative influence of important natural processes, such as fire, on ecological indicators</w:t>
      </w:r>
      <w:r>
        <w:rPr>
          <w:rFonts w:eastAsia="SimSun"/>
        </w:rPr>
        <w:t>.</w:t>
      </w:r>
    </w:p>
    <w:p w:rsidR="009D458C" w:rsidRDefault="009D458C" w:rsidP="009D458C">
      <w:pPr>
        <w:pStyle w:val="BodyText"/>
      </w:pPr>
      <w:r>
        <w:t>The results of each landscape simulation are presented at multiple spatial scales, and include CLFN Traditional Territory, CLFN SA (Alberta side only; hereafter referred to as CLFN SA), specific sub regions (CLAWR, north of CLAWR, agricultural white area, region south o</w:t>
      </w:r>
      <w:r w:rsidR="00E3719D">
        <w:t>f CLAWR and north of White Area</w:t>
      </w:r>
      <w:r>
        <w:t xml:space="preserve">), and for quarter township (5 x 5 km) grid maps. </w:t>
      </w:r>
    </w:p>
    <w:p w:rsidR="009D458C" w:rsidRDefault="009D458C" w:rsidP="009D458C">
      <w:pPr>
        <w:pStyle w:val="BodyText"/>
        <w:rPr>
          <w:rFonts w:eastAsia="SimSun"/>
        </w:rPr>
      </w:pPr>
      <w:r>
        <w:rPr>
          <w:rFonts w:eastAsia="SimSun"/>
        </w:rPr>
        <w:t xml:space="preserve">An analysis of the outputs of the </w:t>
      </w:r>
      <w:r w:rsidRPr="002F0CA9">
        <w:rPr>
          <w:rFonts w:eastAsia="SimSun"/>
        </w:rPr>
        <w:t>ALCES</w:t>
      </w:r>
      <w:r w:rsidRPr="00F45D6B">
        <w:rPr>
          <w:rFonts w:eastAsia="SimSun"/>
          <w:vertAlign w:val="superscript"/>
        </w:rPr>
        <w:t>®</w:t>
      </w:r>
      <w:r>
        <w:rPr>
          <w:rFonts w:eastAsia="SimSun"/>
          <w:vertAlign w:val="superscript"/>
        </w:rPr>
        <w:t xml:space="preserve"> </w:t>
      </w:r>
      <w:r>
        <w:rPr>
          <w:rFonts w:eastAsia="SimSun"/>
        </w:rPr>
        <w:t xml:space="preserve">model illustrate that the current CLFN SA landscape has undergone a profound transformation during the past 100 years. Key historical </w:t>
      </w:r>
      <w:r w:rsidR="00C544DE">
        <w:rPr>
          <w:rFonts w:eastAsia="SimSun"/>
        </w:rPr>
        <w:t>land-use</w:t>
      </w:r>
      <w:r>
        <w:rPr>
          <w:rFonts w:eastAsia="SimSun"/>
        </w:rPr>
        <w:t xml:space="preserve"> drivers have been the settlement of non-aboriginal peoples, growth of the cropland/livestock sectors in the south,</w:t>
      </w:r>
      <w:r w:rsidRPr="00503666">
        <w:rPr>
          <w:rFonts w:eastAsia="SimSun"/>
        </w:rPr>
        <w:t xml:space="preserve"> </w:t>
      </w:r>
      <w:r>
        <w:rPr>
          <w:rFonts w:eastAsia="SimSun"/>
        </w:rPr>
        <w:t xml:space="preserve">the military </w:t>
      </w:r>
      <w:r w:rsidR="00C544DE">
        <w:rPr>
          <w:rFonts w:eastAsia="SimSun"/>
        </w:rPr>
        <w:t>land-use</w:t>
      </w:r>
      <w:r>
        <w:rPr>
          <w:rFonts w:eastAsia="SimSun"/>
        </w:rPr>
        <w:t xml:space="preserve"> in the </w:t>
      </w:r>
      <w:r w:rsidR="00D315D6">
        <w:rPr>
          <w:rFonts w:eastAsia="SimSun"/>
        </w:rPr>
        <w:t>central portions of the CLFN SA</w:t>
      </w:r>
      <w:r>
        <w:rPr>
          <w:rFonts w:eastAsia="SimSun"/>
        </w:rPr>
        <w:t xml:space="preserve">, and, more recently, the infrastructure of the hydrocarbon sector throughout the study area where heavy oil and bitumen deposits occur. Relative to the pre-industrial era, few areas within the study area that are accessible to CLFN have maintained their ecological </w:t>
      </w:r>
      <w:r>
        <w:rPr>
          <w:rFonts w:eastAsia="SimSun"/>
        </w:rPr>
        <w:lastRenderedPageBreak/>
        <w:t>integrity. As CLFN shares strong cultural linkages to these remnants, they are concerned that ongoing land management and industrial activities will hinder the</w:t>
      </w:r>
      <w:r w:rsidR="00D315D6">
        <w:rPr>
          <w:rFonts w:eastAsia="SimSun"/>
        </w:rPr>
        <w:t>ir</w:t>
      </w:r>
      <w:r>
        <w:rPr>
          <w:rFonts w:eastAsia="SimSun"/>
        </w:rPr>
        <w:t xml:space="preserve"> aspirations </w:t>
      </w:r>
      <w:r w:rsidR="00D315D6">
        <w:rPr>
          <w:rFonts w:eastAsia="SimSun"/>
        </w:rPr>
        <w:t>to pursue traditional activities</w:t>
      </w:r>
      <w:r>
        <w:rPr>
          <w:rFonts w:eastAsia="SimSun"/>
        </w:rPr>
        <w:t>.</w:t>
      </w:r>
    </w:p>
    <w:p w:rsidR="009D458C" w:rsidRDefault="009D458C" w:rsidP="009D458C">
      <w:pPr>
        <w:pStyle w:val="BodyText"/>
        <w:rPr>
          <w:rFonts w:eastAsia="SimSun"/>
        </w:rPr>
      </w:pPr>
      <w:r>
        <w:rPr>
          <w:rFonts w:eastAsia="SimSun"/>
        </w:rPr>
        <w:t>The results of future simulations indicate that the CLFN landscape will continue to change at a rapid rate, and that future transformation will be lead</w:t>
      </w:r>
      <w:r w:rsidR="004649CF">
        <w:rPr>
          <w:rFonts w:eastAsia="SimSun"/>
        </w:rPr>
        <w:t xml:space="preserve"> by the bitumen sector. Of the 6</w:t>
      </w:r>
      <w:r>
        <w:rPr>
          <w:rFonts w:eastAsia="SimSun"/>
        </w:rPr>
        <w:t>.3 B m</w:t>
      </w:r>
      <w:r w:rsidRPr="0037633D">
        <w:rPr>
          <w:rFonts w:eastAsia="SimSun"/>
          <w:vertAlign w:val="superscript"/>
        </w:rPr>
        <w:t>3</w:t>
      </w:r>
      <w:r>
        <w:rPr>
          <w:rFonts w:eastAsia="SimSun"/>
        </w:rPr>
        <w:t xml:space="preserve"> of bitumen that is considered recoverable given current technologies, only 0.3 B m</w:t>
      </w:r>
      <w:r w:rsidRPr="0037633D">
        <w:rPr>
          <w:rFonts w:eastAsia="SimSun"/>
          <w:vertAlign w:val="superscript"/>
        </w:rPr>
        <w:t>3</w:t>
      </w:r>
      <w:r w:rsidR="004649CF">
        <w:rPr>
          <w:rFonts w:eastAsia="SimSun"/>
        </w:rPr>
        <w:t xml:space="preserve"> (4.7</w:t>
      </w:r>
      <w:r>
        <w:rPr>
          <w:rFonts w:eastAsia="SimSun"/>
        </w:rPr>
        <w:t>%) has been ext</w:t>
      </w:r>
      <w:r w:rsidR="004649CF">
        <w:rPr>
          <w:rFonts w:eastAsia="SimSun"/>
        </w:rPr>
        <w:t>racted to date. The remaining 95</w:t>
      </w:r>
      <w:r>
        <w:rPr>
          <w:rFonts w:eastAsia="SimSun"/>
        </w:rPr>
        <w:t>% yet to be extracted will require an extensive network of seismic lines, wellsites, access roads, pipelines and processing plants.</w:t>
      </w:r>
      <w:r w:rsidRPr="0067379A">
        <w:rPr>
          <w:rFonts w:eastAsia="SimSun"/>
        </w:rPr>
        <w:t xml:space="preserve"> </w:t>
      </w:r>
      <w:r>
        <w:rPr>
          <w:rFonts w:eastAsia="SimSun"/>
        </w:rPr>
        <w:t xml:space="preserve">Simulations conducted in the CLFN </w:t>
      </w:r>
      <w:r w:rsidRPr="002F0CA9">
        <w:rPr>
          <w:rFonts w:eastAsia="SimSun"/>
        </w:rPr>
        <w:t>ALCES</w:t>
      </w:r>
      <w:r w:rsidRPr="00F45D6B">
        <w:rPr>
          <w:rFonts w:eastAsia="SimSun"/>
          <w:vertAlign w:val="superscript"/>
        </w:rPr>
        <w:t>®</w:t>
      </w:r>
      <w:r>
        <w:rPr>
          <w:rFonts w:eastAsia="SimSun"/>
        </w:rPr>
        <w:t xml:space="preserve"> model indicate that moose, fisher, fish, and edible berry populations are highly likely to decline in response to an increasingly industrialized landscape. </w:t>
      </w:r>
      <w:r w:rsidR="00A502AC">
        <w:rPr>
          <w:rFonts w:eastAsia="SimSun"/>
        </w:rPr>
        <w:t>It is not uncommon for individual In Situ projects in the region to</w:t>
      </w:r>
      <w:r w:rsidR="00624932">
        <w:rPr>
          <w:rFonts w:eastAsia="SimSun"/>
        </w:rPr>
        <w:t xml:space="preserve"> produce ~71</w:t>
      </w:r>
      <w:r>
        <w:rPr>
          <w:rFonts w:eastAsia="SimSun"/>
        </w:rPr>
        <w:t xml:space="preserve"> M m</w:t>
      </w:r>
      <w:r w:rsidRPr="00F10E2D">
        <w:rPr>
          <w:rFonts w:eastAsia="SimSun"/>
          <w:vertAlign w:val="superscript"/>
        </w:rPr>
        <w:t>3</w:t>
      </w:r>
      <w:r>
        <w:rPr>
          <w:rFonts w:eastAsia="SimSun"/>
        </w:rPr>
        <w:t xml:space="preserve"> (35,00</w:t>
      </w:r>
      <w:r w:rsidR="00624932">
        <w:rPr>
          <w:rFonts w:eastAsia="SimSun"/>
        </w:rPr>
        <w:t>0 bpd for 35</w:t>
      </w:r>
      <w:r>
        <w:rPr>
          <w:rFonts w:eastAsia="SimSun"/>
        </w:rPr>
        <w:t xml:space="preserve"> years). To emphasize why we need to broaden the discussion abou</w:t>
      </w:r>
      <w:r w:rsidR="00624932">
        <w:rPr>
          <w:rFonts w:eastAsia="SimSun"/>
        </w:rPr>
        <w:t>t regional land management, ~88</w:t>
      </w:r>
      <w:r>
        <w:rPr>
          <w:rFonts w:eastAsia="SimSun"/>
        </w:rPr>
        <w:t xml:space="preserve"> projects of similar scale will be required to extract the remaining proven bitumen reserves. Furthermore, it is generally understood that the volume of recoverable bitumen will increase through time as new extraction technologies are developed and refined.</w:t>
      </w:r>
    </w:p>
    <w:p w:rsidR="00EF6CE0" w:rsidRDefault="00EF6CE0" w:rsidP="009D458C">
      <w:pPr>
        <w:pStyle w:val="BodyText"/>
        <w:rPr>
          <w:rFonts w:eastAsia="SimSun"/>
        </w:rPr>
      </w:pPr>
    </w:p>
    <w:p w:rsidR="0019172E" w:rsidRDefault="0019172E" w:rsidP="00C55A94">
      <w:pPr>
        <w:pStyle w:val="BodyText"/>
        <w:rPr>
          <w:rFonts w:eastAsia="SimSun"/>
        </w:rPr>
      </w:pPr>
    </w:p>
    <w:p w:rsidR="00E72DE1" w:rsidRDefault="00E72DE1">
      <w:pPr>
        <w:spacing w:after="200" w:line="276" w:lineRule="auto"/>
        <w:rPr>
          <w:b/>
          <w:u w:val="single"/>
        </w:rPr>
      </w:pPr>
      <w:r>
        <w:rPr>
          <w:b/>
          <w:u w:val="single"/>
        </w:rPr>
        <w:br w:type="page"/>
      </w:r>
    </w:p>
    <w:p w:rsidR="00A46FAE" w:rsidRPr="00FF20D4" w:rsidRDefault="00A46FAE" w:rsidP="00482BAB">
      <w:pPr>
        <w:pStyle w:val="BodyText"/>
        <w:spacing w:after="0"/>
        <w:rPr>
          <w:b/>
          <w:u w:val="single"/>
        </w:rPr>
      </w:pPr>
      <w:r w:rsidRPr="00FF20D4">
        <w:rPr>
          <w:b/>
          <w:u w:val="single"/>
        </w:rPr>
        <w:lastRenderedPageBreak/>
        <w:t>Acknowledgements</w:t>
      </w:r>
    </w:p>
    <w:p w:rsidR="00C55A94" w:rsidRPr="00673E28" w:rsidRDefault="00C55A94" w:rsidP="00C55A94">
      <w:pPr>
        <w:pStyle w:val="BodyText"/>
      </w:pPr>
      <w:r w:rsidRPr="00673E28">
        <w:t xml:space="preserve">Many </w:t>
      </w:r>
      <w:r w:rsidR="00CB2D9C">
        <w:t xml:space="preserve">people </w:t>
      </w:r>
      <w:r>
        <w:t xml:space="preserve">contributed </w:t>
      </w:r>
      <w:r w:rsidR="002E5FD1">
        <w:t xml:space="preserve">significantly </w:t>
      </w:r>
      <w:r>
        <w:t>to this project.</w:t>
      </w:r>
      <w:r w:rsidRPr="00673E28">
        <w:t xml:space="preserve">  We would like to thank the following </w:t>
      </w:r>
      <w:r w:rsidR="000D0B0C">
        <w:t xml:space="preserve">organizations and </w:t>
      </w:r>
      <w:r w:rsidRPr="00673E28">
        <w:t>individuals for their time and for sharing their knowledge and e</w:t>
      </w:r>
      <w:r w:rsidR="002644C7">
        <w:t xml:space="preserve">xpertise with the ALCES Group: </w:t>
      </w:r>
      <w:r w:rsidR="000D0B0C">
        <w:t>DS Environmental (Dan Smith), Birchwood Res</w:t>
      </w:r>
      <w:r w:rsidR="00406499">
        <w:t>ources (Alex Lemmens</w:t>
      </w:r>
      <w:r w:rsidR="000D0B0C">
        <w:t>)</w:t>
      </w:r>
      <w:r w:rsidR="002725A4">
        <w:t xml:space="preserve">, </w:t>
      </w:r>
      <w:r w:rsidR="00012E29">
        <w:t>Integrated Ecology Group (Justi</w:t>
      </w:r>
      <w:r w:rsidR="008D3ACE">
        <w:t>n Straker, Shanti Berryman, Ann</w:t>
      </w:r>
      <w:r w:rsidR="00012E29">
        <w:t xml:space="preserve"> Garibaldi)</w:t>
      </w:r>
      <w:r w:rsidR="002725A4">
        <w:t>, and Sharna Nolan</w:t>
      </w:r>
      <w:r w:rsidR="000D0B0C">
        <w:t xml:space="preserve">.  </w:t>
      </w:r>
    </w:p>
    <w:p w:rsidR="00CF2DC9" w:rsidRDefault="000D0B0C" w:rsidP="00C55A94">
      <w:pPr>
        <w:pStyle w:val="BodyText"/>
      </w:pPr>
      <w:r>
        <w:t>A special gratitude is extended</w:t>
      </w:r>
      <w:r w:rsidR="00C55A94" w:rsidRPr="00673E28">
        <w:t xml:space="preserve"> to </w:t>
      </w:r>
      <w:r>
        <w:t xml:space="preserve">the people of Cold Lake First Nations, who </w:t>
      </w:r>
      <w:r w:rsidR="00CB2D9C">
        <w:t>kindly</w:t>
      </w:r>
      <w:r>
        <w:t xml:space="preserve"> shared their time, </w:t>
      </w:r>
      <w:r w:rsidR="00CB2D9C">
        <w:t>stories,</w:t>
      </w:r>
      <w:r>
        <w:t xml:space="preserve"> and </w:t>
      </w:r>
      <w:r w:rsidR="00CB2D9C">
        <w:t xml:space="preserve">graciously </w:t>
      </w:r>
      <w:r>
        <w:t>hosted the ALCES Group during field trips</w:t>
      </w:r>
      <w:r w:rsidR="000D45D0">
        <w:t xml:space="preserve">. </w:t>
      </w:r>
      <w:r w:rsidR="006D27F0">
        <w:t>Specific thanks are</w:t>
      </w:r>
      <w:r w:rsidR="00CF2DC9">
        <w:t xml:space="preserve"> extended to Jill</w:t>
      </w:r>
      <w:r w:rsidR="00F41E9D">
        <w:t xml:space="preserve"> Janvier for coordinating interviews </w:t>
      </w:r>
      <w:r w:rsidR="00570607">
        <w:t xml:space="preserve">between the ALCES team and community members.  </w:t>
      </w:r>
      <w:r w:rsidR="00F41E9D">
        <w:t xml:space="preserve">  </w:t>
      </w:r>
    </w:p>
    <w:p w:rsidR="00CF2DC9" w:rsidRPr="00FF20D4" w:rsidRDefault="00FF20D4" w:rsidP="00482BAB">
      <w:pPr>
        <w:pStyle w:val="BodyText"/>
        <w:spacing w:after="0"/>
        <w:rPr>
          <w:b/>
          <w:u w:val="single"/>
        </w:rPr>
      </w:pPr>
      <w:r w:rsidRPr="00FF20D4">
        <w:rPr>
          <w:b/>
          <w:u w:val="single"/>
        </w:rPr>
        <w:t>Caveat and Disclaimer</w:t>
      </w:r>
    </w:p>
    <w:p w:rsidR="00C55A94" w:rsidRPr="00876796" w:rsidRDefault="00C55A94" w:rsidP="00C55A94">
      <w:pPr>
        <w:pStyle w:val="BodyText"/>
      </w:pPr>
      <w:r w:rsidRPr="00876796">
        <w:t xml:space="preserve">This report was prepared by the ALCES </w:t>
      </w:r>
      <w:r w:rsidR="004649CF">
        <w:t xml:space="preserve">Landscape and Land-use </w:t>
      </w:r>
      <w:r w:rsidRPr="00876796">
        <w:t xml:space="preserve">Group for the </w:t>
      </w:r>
      <w:r w:rsidR="00CB2D9C">
        <w:t>Cold Lake First Nations</w:t>
      </w:r>
      <w:r w:rsidRPr="00876796">
        <w:t>.</w:t>
      </w:r>
    </w:p>
    <w:p w:rsidR="00C55A94" w:rsidRDefault="00C55A94" w:rsidP="00C55A94">
      <w:pPr>
        <w:pStyle w:val="BodyText"/>
      </w:pPr>
      <w:r w:rsidRPr="00876796">
        <w:t>The opinions expressed in this document are those of the author</w:t>
      </w:r>
      <w:r w:rsidR="009356D7">
        <w:t>s</w:t>
      </w:r>
      <w:r w:rsidRPr="00876796">
        <w:t xml:space="preserve"> and are not nec</w:t>
      </w:r>
      <w:r w:rsidR="00CB2D9C">
        <w:t>essarily those of the Cold Lake First Nations</w:t>
      </w:r>
      <w:r w:rsidR="00F91F44">
        <w:t xml:space="preserve"> or their</w:t>
      </w:r>
      <w:r w:rsidRPr="00876796">
        <w:t xml:space="preserve"> advisors.  Permission to use or reproduce this report is granted to the </w:t>
      </w:r>
      <w:r w:rsidR="00CB2D9C">
        <w:t>Cold Lake First Nations</w:t>
      </w:r>
      <w:r w:rsidRPr="00876796">
        <w:t xml:space="preserve"> without fee and without formal request provided that it is properly cited.  Copies may not be made or distributed for profit or commercial advantage.</w:t>
      </w:r>
    </w:p>
    <w:p w:rsidR="0041081D" w:rsidRPr="00FF20D4" w:rsidRDefault="0041081D" w:rsidP="00482BAB">
      <w:pPr>
        <w:pStyle w:val="BodyText"/>
        <w:spacing w:after="0"/>
        <w:rPr>
          <w:b/>
          <w:u w:val="single"/>
        </w:rPr>
      </w:pPr>
      <w:r>
        <w:rPr>
          <w:b/>
          <w:u w:val="single"/>
        </w:rPr>
        <w:t>List of Acronyms</w:t>
      </w:r>
    </w:p>
    <w:p w:rsidR="00DD6A63" w:rsidRDefault="00DD6A63" w:rsidP="0041081D">
      <w:pPr>
        <w:pStyle w:val="BodyText"/>
        <w:spacing w:after="0"/>
      </w:pPr>
      <w:r>
        <w:t>ALCES</w:t>
      </w:r>
      <w:r>
        <w:tab/>
        <w:t>Alberta Landscape Cumulative Effects Simulator</w:t>
      </w:r>
    </w:p>
    <w:p w:rsidR="004D6FCF" w:rsidRDefault="004D6FCF" w:rsidP="0041081D">
      <w:pPr>
        <w:pStyle w:val="BodyText"/>
        <w:spacing w:after="0"/>
      </w:pPr>
      <w:r>
        <w:t>BPD</w:t>
      </w:r>
      <w:r>
        <w:tab/>
      </w:r>
      <w:r>
        <w:tab/>
        <w:t>Barrels per Day</w:t>
      </w:r>
    </w:p>
    <w:p w:rsidR="00DD6A63" w:rsidRDefault="00DD6A63" w:rsidP="0041081D">
      <w:pPr>
        <w:pStyle w:val="BodyText"/>
        <w:spacing w:after="0"/>
      </w:pPr>
      <w:r>
        <w:t>CEMA</w:t>
      </w:r>
      <w:r>
        <w:tab/>
      </w:r>
      <w:r>
        <w:tab/>
        <w:t>Cumulative Environmental Management Association</w:t>
      </w:r>
    </w:p>
    <w:p w:rsidR="00DD6A63" w:rsidRPr="00876796" w:rsidRDefault="00DD6A63" w:rsidP="0041081D">
      <w:pPr>
        <w:pStyle w:val="BodyText"/>
        <w:spacing w:after="0"/>
      </w:pPr>
      <w:r>
        <w:t>CLAWR</w:t>
      </w:r>
      <w:r>
        <w:tab/>
        <w:t>Cold Lake Air Weapons Range (</w:t>
      </w:r>
      <w:r w:rsidR="002024BA">
        <w:t>also known</w:t>
      </w:r>
      <w:r>
        <w:t xml:space="preserve"> as Primrose Air Weapons Range)</w:t>
      </w:r>
    </w:p>
    <w:p w:rsidR="00DD6A63" w:rsidRDefault="00DD6A63" w:rsidP="0041081D">
      <w:pPr>
        <w:pStyle w:val="BodyText"/>
        <w:spacing w:after="0"/>
      </w:pPr>
      <w:r>
        <w:t>CLFN SA</w:t>
      </w:r>
      <w:r>
        <w:tab/>
        <w:t>Cold Lake First Nations Study Area</w:t>
      </w:r>
    </w:p>
    <w:p w:rsidR="00DD6A63" w:rsidRDefault="00DD6A63" w:rsidP="0041081D">
      <w:pPr>
        <w:pStyle w:val="BodyText"/>
        <w:spacing w:after="0"/>
      </w:pPr>
      <w:r>
        <w:t>CLFN</w:t>
      </w:r>
      <w:r>
        <w:tab/>
      </w:r>
      <w:r>
        <w:tab/>
        <w:t>Cold Lake First Nations</w:t>
      </w:r>
    </w:p>
    <w:p w:rsidR="006C02CB" w:rsidRDefault="006C02CB" w:rsidP="0041081D">
      <w:pPr>
        <w:pStyle w:val="BodyText"/>
        <w:spacing w:after="0"/>
      </w:pPr>
      <w:r>
        <w:t>CSS</w:t>
      </w:r>
      <w:r>
        <w:tab/>
      </w:r>
      <w:r>
        <w:tab/>
        <w:t>Cyclic Steam Stimulation</w:t>
      </w:r>
    </w:p>
    <w:p w:rsidR="00DD6A63" w:rsidRDefault="00DD6A63" w:rsidP="0041081D">
      <w:pPr>
        <w:pStyle w:val="BodyText"/>
        <w:spacing w:after="0"/>
      </w:pPr>
      <w:r>
        <w:t>ERCB</w:t>
      </w:r>
      <w:r>
        <w:tab/>
      </w:r>
      <w:r>
        <w:tab/>
        <w:t>Energy Resources Conservation Board</w:t>
      </w:r>
    </w:p>
    <w:p w:rsidR="00DD6A63" w:rsidRDefault="00DD6A63" w:rsidP="0041081D">
      <w:pPr>
        <w:pStyle w:val="BodyText"/>
        <w:spacing w:after="0"/>
      </w:pPr>
      <w:r>
        <w:t>FMA</w:t>
      </w:r>
      <w:r>
        <w:tab/>
      </w:r>
      <w:r>
        <w:tab/>
        <w:t>Forest Management Agreement Area</w:t>
      </w:r>
    </w:p>
    <w:p w:rsidR="00DD6A63" w:rsidRDefault="00DD6A63" w:rsidP="0041081D">
      <w:pPr>
        <w:pStyle w:val="BodyText"/>
        <w:spacing w:after="0"/>
      </w:pPr>
      <w:r>
        <w:t>FT</w:t>
      </w:r>
      <w:r>
        <w:tab/>
      </w:r>
      <w:r>
        <w:tab/>
        <w:t>Footprint Type</w:t>
      </w:r>
    </w:p>
    <w:p w:rsidR="00DD6A63" w:rsidRDefault="00DD6A63" w:rsidP="0041081D">
      <w:pPr>
        <w:pStyle w:val="BodyText"/>
        <w:spacing w:after="0"/>
      </w:pPr>
      <w:r>
        <w:t>GIS</w:t>
      </w:r>
      <w:r>
        <w:tab/>
      </w:r>
      <w:r>
        <w:tab/>
        <w:t>Geographic Information System</w:t>
      </w:r>
    </w:p>
    <w:p w:rsidR="002024BA" w:rsidRDefault="002024BA" w:rsidP="0041081D">
      <w:pPr>
        <w:pStyle w:val="BodyText"/>
        <w:spacing w:after="0"/>
      </w:pPr>
      <w:r>
        <w:t>GOR</w:t>
      </w:r>
      <w:r>
        <w:tab/>
      </w:r>
      <w:r>
        <w:tab/>
        <w:t>Gas to Oil Ratio</w:t>
      </w:r>
    </w:p>
    <w:p w:rsidR="00DD6A63" w:rsidRDefault="00DD6A63" w:rsidP="0041081D">
      <w:pPr>
        <w:pStyle w:val="BodyText"/>
        <w:spacing w:after="0"/>
      </w:pPr>
      <w:r>
        <w:t>HSI</w:t>
      </w:r>
      <w:r>
        <w:tab/>
      </w:r>
      <w:r>
        <w:tab/>
        <w:t>Habitat Suitability Index</w:t>
      </w:r>
    </w:p>
    <w:p w:rsidR="00DD6A63" w:rsidRDefault="00DD6A63" w:rsidP="0041081D">
      <w:pPr>
        <w:pStyle w:val="BodyText"/>
        <w:spacing w:after="0"/>
      </w:pPr>
      <w:r>
        <w:t>INFI</w:t>
      </w:r>
      <w:r>
        <w:tab/>
      </w:r>
      <w:r>
        <w:tab/>
        <w:t>Index of Native Fish Integrity</w:t>
      </w:r>
    </w:p>
    <w:p w:rsidR="00DD6A63" w:rsidRDefault="00DD6A63" w:rsidP="0041081D">
      <w:pPr>
        <w:pStyle w:val="BodyText"/>
        <w:spacing w:after="0"/>
      </w:pPr>
      <w:r>
        <w:t>LT</w:t>
      </w:r>
      <w:r>
        <w:tab/>
      </w:r>
      <w:r>
        <w:tab/>
        <w:t>Landscape Type</w:t>
      </w:r>
    </w:p>
    <w:p w:rsidR="0070348A" w:rsidRDefault="0070348A" w:rsidP="0041081D">
      <w:pPr>
        <w:pStyle w:val="BodyText"/>
        <w:spacing w:after="0"/>
      </w:pPr>
      <w:r>
        <w:t>RNV</w:t>
      </w:r>
      <w:r>
        <w:tab/>
      </w:r>
      <w:r>
        <w:tab/>
        <w:t>Range of Natural Variation</w:t>
      </w:r>
    </w:p>
    <w:p w:rsidR="006C02CB" w:rsidRDefault="006C02CB" w:rsidP="0041081D">
      <w:pPr>
        <w:pStyle w:val="BodyText"/>
        <w:spacing w:after="0"/>
      </w:pPr>
      <w:r>
        <w:t>SAGD</w:t>
      </w:r>
      <w:r>
        <w:tab/>
      </w:r>
      <w:r>
        <w:tab/>
        <w:t>Steam Assisted Gravity Drainage</w:t>
      </w:r>
    </w:p>
    <w:p w:rsidR="002241B4" w:rsidRDefault="002241B4" w:rsidP="0041081D">
      <w:pPr>
        <w:pStyle w:val="BodyText"/>
        <w:spacing w:after="0"/>
      </w:pPr>
      <w:r>
        <w:t>SEWG</w:t>
      </w:r>
      <w:r>
        <w:tab/>
      </w:r>
      <w:r>
        <w:tab/>
        <w:t>Sustainable Ecosystems Working Group</w:t>
      </w:r>
    </w:p>
    <w:p w:rsidR="0041081D" w:rsidRPr="00482BAB" w:rsidRDefault="0041081D" w:rsidP="00C55A94">
      <w:pPr>
        <w:pStyle w:val="BodyText"/>
        <w:rPr>
          <w:sz w:val="10"/>
        </w:rPr>
      </w:pPr>
    </w:p>
    <w:p w:rsidR="002024BA" w:rsidRDefault="002024BA" w:rsidP="00482BAB">
      <w:pPr>
        <w:pStyle w:val="BodyText"/>
        <w:spacing w:after="0"/>
        <w:rPr>
          <w:b/>
          <w:u w:val="single"/>
        </w:rPr>
        <w:sectPr w:rsidR="002024BA" w:rsidSect="0062766E">
          <w:footerReference w:type="default" r:id="rId10"/>
          <w:type w:val="oddPage"/>
          <w:pgSz w:w="12240" w:h="15840" w:code="1"/>
          <w:pgMar w:top="1440" w:right="1440" w:bottom="1440" w:left="1797" w:header="720" w:footer="624" w:gutter="0"/>
          <w:pgNumType w:start="1"/>
          <w:cols w:space="720"/>
          <w:docGrid w:linePitch="326"/>
        </w:sectPr>
      </w:pPr>
    </w:p>
    <w:p w:rsidR="0041081D" w:rsidRPr="00FF20D4" w:rsidRDefault="0041081D" w:rsidP="00482BAB">
      <w:pPr>
        <w:pStyle w:val="BodyText"/>
        <w:spacing w:after="0"/>
        <w:rPr>
          <w:b/>
          <w:u w:val="single"/>
        </w:rPr>
      </w:pPr>
      <w:r>
        <w:rPr>
          <w:b/>
          <w:u w:val="single"/>
        </w:rPr>
        <w:lastRenderedPageBreak/>
        <w:t>List of Units</w:t>
      </w:r>
    </w:p>
    <w:p w:rsidR="00482BAB" w:rsidRDefault="00482BAB" w:rsidP="00482BAB">
      <w:pPr>
        <w:pStyle w:val="BodyText"/>
        <w:spacing w:after="0"/>
      </w:pPr>
      <w:r>
        <w:t>B</w:t>
      </w:r>
      <w:r>
        <w:tab/>
      </w:r>
      <w:r>
        <w:tab/>
        <w:t>Billion</w:t>
      </w:r>
    </w:p>
    <w:p w:rsidR="00482BAB" w:rsidRDefault="00482BAB" w:rsidP="0041081D">
      <w:pPr>
        <w:pStyle w:val="BodyText"/>
        <w:spacing w:after="0"/>
      </w:pPr>
      <w:proofErr w:type="gramStart"/>
      <w:r>
        <w:t>ha</w:t>
      </w:r>
      <w:proofErr w:type="gramEnd"/>
      <w:r>
        <w:tab/>
      </w:r>
      <w:r>
        <w:tab/>
        <w:t>hectare (100 x 100 m)</w:t>
      </w:r>
    </w:p>
    <w:p w:rsidR="00482BAB" w:rsidRDefault="00482BAB" w:rsidP="00482BAB">
      <w:pPr>
        <w:pStyle w:val="BodyText"/>
        <w:spacing w:after="0"/>
      </w:pPr>
      <w:r>
        <w:t>M</w:t>
      </w:r>
      <w:r>
        <w:tab/>
      </w:r>
      <w:r>
        <w:tab/>
        <w:t>Million</w:t>
      </w:r>
    </w:p>
    <w:p w:rsidR="00482BAB" w:rsidRDefault="00482BAB" w:rsidP="0041081D">
      <w:pPr>
        <w:pStyle w:val="BodyText"/>
        <w:spacing w:after="0"/>
      </w:pPr>
      <w:proofErr w:type="gramStart"/>
      <w:r>
        <w:rPr>
          <w:lang w:val="en-US"/>
        </w:rPr>
        <w:t>m</w:t>
      </w:r>
      <w:r w:rsidRPr="00482BAB">
        <w:rPr>
          <w:vertAlign w:val="superscript"/>
          <w:lang w:val="en-US"/>
        </w:rPr>
        <w:t>3</w:t>
      </w:r>
      <w:proofErr w:type="gramEnd"/>
      <w:r>
        <w:tab/>
      </w:r>
      <w:r>
        <w:tab/>
        <w:t>cubic meter</w:t>
      </w:r>
    </w:p>
    <w:p w:rsidR="002024BA" w:rsidRDefault="002024BA" w:rsidP="00482BAB">
      <w:pPr>
        <w:pStyle w:val="BodyText"/>
        <w:spacing w:after="0"/>
      </w:pPr>
      <w:r>
        <w:lastRenderedPageBreak/>
        <w:t>PPM</w:t>
      </w:r>
      <w:r>
        <w:tab/>
      </w:r>
      <w:r>
        <w:tab/>
        <w:t>parts per million</w:t>
      </w:r>
    </w:p>
    <w:p w:rsidR="00482BAB" w:rsidRDefault="00482BAB" w:rsidP="00482BAB">
      <w:pPr>
        <w:pStyle w:val="BodyText"/>
        <w:spacing w:after="0"/>
      </w:pPr>
      <w:r>
        <w:t>T</w:t>
      </w:r>
      <w:r>
        <w:tab/>
      </w:r>
      <w:r>
        <w:tab/>
        <w:t>Trillion</w:t>
      </w:r>
    </w:p>
    <w:p w:rsidR="002024BA" w:rsidRDefault="002024BA" w:rsidP="00482BAB">
      <w:pPr>
        <w:pStyle w:val="BodyText"/>
        <w:spacing w:after="0"/>
      </w:pPr>
      <w:r>
        <w:t>T/D</w:t>
      </w:r>
      <w:r>
        <w:tab/>
      </w:r>
      <w:r>
        <w:tab/>
        <w:t>Tonne/day</w:t>
      </w:r>
    </w:p>
    <w:p w:rsidR="007A2AE9" w:rsidRDefault="007A2AE9" w:rsidP="00C55A94">
      <w:pPr>
        <w:pStyle w:val="Headingwithout-TOC"/>
        <w:sectPr w:rsidR="007A2AE9" w:rsidSect="002024BA">
          <w:type w:val="continuous"/>
          <w:pgSz w:w="12240" w:h="15840" w:code="1"/>
          <w:pgMar w:top="1440" w:right="1440" w:bottom="1440" w:left="1797" w:header="720" w:footer="624" w:gutter="0"/>
          <w:pgNumType w:start="1"/>
          <w:cols w:num="2" w:space="720"/>
          <w:docGrid w:linePitch="326"/>
        </w:sectPr>
      </w:pPr>
      <w:bookmarkStart w:id="2" w:name="_Toc236047646"/>
    </w:p>
    <w:p w:rsidR="00C55A94" w:rsidRPr="004963C4" w:rsidRDefault="00C55A94" w:rsidP="00C55A94">
      <w:pPr>
        <w:pStyle w:val="Headingwithout-TOC"/>
      </w:pPr>
      <w:bookmarkStart w:id="3" w:name="_Toc338703674"/>
      <w:r w:rsidRPr="004963C4">
        <w:lastRenderedPageBreak/>
        <w:t>Table of Contents</w:t>
      </w:r>
      <w:bookmarkEnd w:id="2"/>
      <w:bookmarkEnd w:id="3"/>
    </w:p>
    <w:p w:rsidR="00794F48" w:rsidRDefault="00575CA7">
      <w:pPr>
        <w:pStyle w:val="TOC1"/>
        <w:rPr>
          <w:rFonts w:asciiTheme="minorHAnsi" w:eastAsiaTheme="minorEastAsia" w:hAnsiTheme="minorHAnsi" w:cstheme="minorBidi"/>
          <w:b w:val="0"/>
          <w:noProof/>
          <w:sz w:val="22"/>
          <w:szCs w:val="22"/>
          <w:lang w:val="en-US"/>
        </w:rPr>
      </w:pPr>
      <w:r w:rsidRPr="00575CA7">
        <w:rPr>
          <w:lang w:val="en-US"/>
        </w:rPr>
        <w:fldChar w:fldCharType="begin"/>
      </w:r>
      <w:r w:rsidR="00D1420C">
        <w:rPr>
          <w:lang w:val="en-US"/>
        </w:rPr>
        <w:instrText xml:space="preserve"> TOC \o "1-3" \u </w:instrText>
      </w:r>
      <w:r w:rsidRPr="00575CA7">
        <w:rPr>
          <w:lang w:val="en-US"/>
        </w:rPr>
        <w:fldChar w:fldCharType="separate"/>
      </w:r>
      <w:r w:rsidR="00794F48">
        <w:rPr>
          <w:noProof/>
        </w:rPr>
        <w:t>Overview</w:t>
      </w:r>
      <w:r w:rsidR="00794F48">
        <w:rPr>
          <w:noProof/>
        </w:rPr>
        <w:tab/>
      </w:r>
      <w:r w:rsidR="00794F48">
        <w:rPr>
          <w:noProof/>
        </w:rPr>
        <w:fldChar w:fldCharType="begin"/>
      </w:r>
      <w:r w:rsidR="00794F48">
        <w:rPr>
          <w:noProof/>
        </w:rPr>
        <w:instrText xml:space="preserve"> PAGEREF _Toc338703673 \h </w:instrText>
      </w:r>
      <w:r w:rsidR="00794F48">
        <w:rPr>
          <w:noProof/>
        </w:rPr>
      </w:r>
      <w:r w:rsidR="00794F48">
        <w:rPr>
          <w:noProof/>
        </w:rPr>
        <w:fldChar w:fldCharType="separate"/>
      </w:r>
      <w:r w:rsidR="00794F48">
        <w:rPr>
          <w:noProof/>
        </w:rPr>
        <w:t>3</w:t>
      </w:r>
      <w:r w:rsidR="00794F48">
        <w:rPr>
          <w:noProof/>
        </w:rPr>
        <w:fldChar w:fldCharType="end"/>
      </w:r>
    </w:p>
    <w:p w:rsidR="00794F48" w:rsidRDefault="00794F48">
      <w:pPr>
        <w:pStyle w:val="TOC1"/>
        <w:rPr>
          <w:rFonts w:asciiTheme="minorHAnsi" w:eastAsiaTheme="minorEastAsia" w:hAnsiTheme="minorHAnsi" w:cstheme="minorBidi"/>
          <w:b w:val="0"/>
          <w:noProof/>
          <w:sz w:val="22"/>
          <w:szCs w:val="22"/>
          <w:lang w:val="en-US"/>
        </w:rPr>
      </w:pPr>
      <w:r>
        <w:rPr>
          <w:noProof/>
        </w:rPr>
        <w:t>Table of Contents</w:t>
      </w:r>
      <w:r>
        <w:rPr>
          <w:noProof/>
        </w:rPr>
        <w:tab/>
      </w:r>
      <w:r>
        <w:rPr>
          <w:noProof/>
        </w:rPr>
        <w:fldChar w:fldCharType="begin"/>
      </w:r>
      <w:r>
        <w:rPr>
          <w:noProof/>
        </w:rPr>
        <w:instrText xml:space="preserve"> PAGEREF _Toc338703674 \h </w:instrText>
      </w:r>
      <w:r>
        <w:rPr>
          <w:noProof/>
        </w:rPr>
      </w:r>
      <w:r>
        <w:rPr>
          <w:noProof/>
        </w:rPr>
        <w:fldChar w:fldCharType="separate"/>
      </w:r>
      <w:r>
        <w:rPr>
          <w:noProof/>
        </w:rPr>
        <w:t>2</w:t>
      </w:r>
      <w:r>
        <w:rPr>
          <w:noProof/>
        </w:rPr>
        <w:fldChar w:fldCharType="end"/>
      </w:r>
    </w:p>
    <w:p w:rsidR="00794F48" w:rsidRDefault="00794F48">
      <w:pPr>
        <w:pStyle w:val="TOC1"/>
        <w:rPr>
          <w:rFonts w:asciiTheme="minorHAnsi" w:eastAsiaTheme="minorEastAsia" w:hAnsiTheme="minorHAnsi" w:cstheme="minorBidi"/>
          <w:b w:val="0"/>
          <w:noProof/>
          <w:sz w:val="22"/>
          <w:szCs w:val="22"/>
          <w:lang w:val="en-US"/>
        </w:rPr>
      </w:pPr>
      <w:r>
        <w:rPr>
          <w:noProof/>
        </w:rPr>
        <w:t>List of Tables</w:t>
      </w:r>
      <w:r>
        <w:rPr>
          <w:noProof/>
        </w:rPr>
        <w:tab/>
      </w:r>
      <w:r>
        <w:rPr>
          <w:noProof/>
        </w:rPr>
        <w:fldChar w:fldCharType="begin"/>
      </w:r>
      <w:r>
        <w:rPr>
          <w:noProof/>
        </w:rPr>
        <w:instrText xml:space="preserve"> PAGEREF _Toc338703675 \h </w:instrText>
      </w:r>
      <w:r>
        <w:rPr>
          <w:noProof/>
        </w:rPr>
      </w:r>
      <w:r>
        <w:rPr>
          <w:noProof/>
        </w:rPr>
        <w:fldChar w:fldCharType="separate"/>
      </w:r>
      <w:r>
        <w:rPr>
          <w:noProof/>
        </w:rPr>
        <w:t>5</w:t>
      </w:r>
      <w:r>
        <w:rPr>
          <w:noProof/>
        </w:rPr>
        <w:fldChar w:fldCharType="end"/>
      </w:r>
    </w:p>
    <w:p w:rsidR="00794F48" w:rsidRDefault="00794F48">
      <w:pPr>
        <w:pStyle w:val="TOC1"/>
        <w:rPr>
          <w:rFonts w:asciiTheme="minorHAnsi" w:eastAsiaTheme="minorEastAsia" w:hAnsiTheme="minorHAnsi" w:cstheme="minorBidi"/>
          <w:b w:val="0"/>
          <w:noProof/>
          <w:sz w:val="22"/>
          <w:szCs w:val="22"/>
          <w:lang w:val="en-US"/>
        </w:rPr>
      </w:pPr>
      <w:r>
        <w:rPr>
          <w:noProof/>
        </w:rPr>
        <w:t>List of Figures</w:t>
      </w:r>
      <w:r>
        <w:rPr>
          <w:noProof/>
        </w:rPr>
        <w:tab/>
      </w:r>
      <w:r>
        <w:rPr>
          <w:noProof/>
        </w:rPr>
        <w:fldChar w:fldCharType="begin"/>
      </w:r>
      <w:r>
        <w:rPr>
          <w:noProof/>
        </w:rPr>
        <w:instrText xml:space="preserve"> PAGEREF _Toc338703676 \h </w:instrText>
      </w:r>
      <w:r>
        <w:rPr>
          <w:noProof/>
        </w:rPr>
      </w:r>
      <w:r>
        <w:rPr>
          <w:noProof/>
        </w:rPr>
        <w:fldChar w:fldCharType="separate"/>
      </w:r>
      <w:r>
        <w:rPr>
          <w:noProof/>
        </w:rPr>
        <w:t>6</w:t>
      </w:r>
      <w:r>
        <w:rPr>
          <w:noProof/>
        </w:rPr>
        <w:fldChar w:fldCharType="end"/>
      </w:r>
    </w:p>
    <w:p w:rsidR="00794F48" w:rsidRDefault="00794F48">
      <w:pPr>
        <w:pStyle w:val="TOC1"/>
        <w:rPr>
          <w:rFonts w:asciiTheme="minorHAnsi" w:eastAsiaTheme="minorEastAsia" w:hAnsiTheme="minorHAnsi" w:cstheme="minorBidi"/>
          <w:b w:val="0"/>
          <w:noProof/>
          <w:sz w:val="22"/>
          <w:szCs w:val="22"/>
          <w:lang w:val="en-US"/>
        </w:rPr>
      </w:pPr>
      <w:r>
        <w:rPr>
          <w:noProof/>
        </w:rPr>
        <w:t>1.</w:t>
      </w:r>
      <w:r>
        <w:rPr>
          <w:rFonts w:asciiTheme="minorHAnsi" w:eastAsiaTheme="minorEastAsia" w:hAnsiTheme="minorHAnsi" w:cstheme="minorBidi"/>
          <w:b w:val="0"/>
          <w:noProof/>
          <w:sz w:val="22"/>
          <w:szCs w:val="22"/>
          <w:lang w:val="en-US"/>
        </w:rPr>
        <w:tab/>
      </w:r>
      <w:r>
        <w:rPr>
          <w:noProof/>
        </w:rPr>
        <w:t>Background</w:t>
      </w:r>
      <w:r>
        <w:rPr>
          <w:noProof/>
        </w:rPr>
        <w:tab/>
      </w:r>
      <w:r>
        <w:rPr>
          <w:noProof/>
        </w:rPr>
        <w:fldChar w:fldCharType="begin"/>
      </w:r>
      <w:r>
        <w:rPr>
          <w:noProof/>
        </w:rPr>
        <w:instrText xml:space="preserve"> PAGEREF _Toc338703677 \h </w:instrText>
      </w:r>
      <w:r>
        <w:rPr>
          <w:noProof/>
        </w:rPr>
      </w:r>
      <w:r>
        <w:rPr>
          <w:noProof/>
        </w:rPr>
        <w:fldChar w:fldCharType="separate"/>
      </w:r>
      <w:r>
        <w:rPr>
          <w:noProof/>
        </w:rPr>
        <w:t>14</w:t>
      </w:r>
      <w:r>
        <w:rPr>
          <w:noProof/>
        </w:rPr>
        <w:fldChar w:fldCharType="end"/>
      </w:r>
    </w:p>
    <w:p w:rsidR="00794F48" w:rsidRDefault="00794F48">
      <w:pPr>
        <w:pStyle w:val="TOC1"/>
        <w:rPr>
          <w:rFonts w:asciiTheme="minorHAnsi" w:eastAsiaTheme="minorEastAsia" w:hAnsiTheme="minorHAnsi" w:cstheme="minorBidi"/>
          <w:b w:val="0"/>
          <w:noProof/>
          <w:sz w:val="22"/>
          <w:szCs w:val="22"/>
          <w:lang w:val="en-US"/>
        </w:rPr>
      </w:pPr>
      <w:r>
        <w:rPr>
          <w:noProof/>
        </w:rPr>
        <w:t>2.</w:t>
      </w:r>
      <w:r>
        <w:rPr>
          <w:rFonts w:asciiTheme="minorHAnsi" w:eastAsiaTheme="minorEastAsia" w:hAnsiTheme="minorHAnsi" w:cstheme="minorBidi"/>
          <w:b w:val="0"/>
          <w:noProof/>
          <w:sz w:val="22"/>
          <w:szCs w:val="22"/>
          <w:lang w:val="en-US"/>
        </w:rPr>
        <w:tab/>
      </w:r>
      <w:r>
        <w:rPr>
          <w:noProof/>
        </w:rPr>
        <w:t>Study Area</w:t>
      </w:r>
      <w:r>
        <w:rPr>
          <w:noProof/>
        </w:rPr>
        <w:tab/>
      </w:r>
      <w:r>
        <w:rPr>
          <w:noProof/>
        </w:rPr>
        <w:fldChar w:fldCharType="begin"/>
      </w:r>
      <w:r>
        <w:rPr>
          <w:noProof/>
        </w:rPr>
        <w:instrText xml:space="preserve"> PAGEREF _Toc338703678 \h </w:instrText>
      </w:r>
      <w:r>
        <w:rPr>
          <w:noProof/>
        </w:rPr>
      </w:r>
      <w:r>
        <w:rPr>
          <w:noProof/>
        </w:rPr>
        <w:fldChar w:fldCharType="separate"/>
      </w:r>
      <w:r>
        <w:rPr>
          <w:noProof/>
        </w:rPr>
        <w:t>17</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2.1</w:t>
      </w:r>
      <w:r>
        <w:rPr>
          <w:rFonts w:asciiTheme="minorHAnsi" w:eastAsiaTheme="minorEastAsia" w:hAnsiTheme="minorHAnsi" w:cstheme="minorBidi"/>
          <w:noProof/>
          <w:sz w:val="22"/>
          <w:szCs w:val="22"/>
          <w:lang w:val="en-US"/>
        </w:rPr>
        <w:tab/>
      </w:r>
      <w:r>
        <w:rPr>
          <w:noProof/>
        </w:rPr>
        <w:t>The Physical Landscape</w:t>
      </w:r>
      <w:r>
        <w:rPr>
          <w:noProof/>
        </w:rPr>
        <w:tab/>
      </w:r>
      <w:r>
        <w:rPr>
          <w:noProof/>
        </w:rPr>
        <w:fldChar w:fldCharType="begin"/>
      </w:r>
      <w:r>
        <w:rPr>
          <w:noProof/>
        </w:rPr>
        <w:instrText xml:space="preserve"> PAGEREF _Toc338703679 \h </w:instrText>
      </w:r>
      <w:r>
        <w:rPr>
          <w:noProof/>
        </w:rPr>
      </w:r>
      <w:r>
        <w:rPr>
          <w:noProof/>
        </w:rPr>
        <w:fldChar w:fldCharType="separate"/>
      </w:r>
      <w:r>
        <w:rPr>
          <w:noProof/>
        </w:rPr>
        <w:t>17</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2.2</w:t>
      </w:r>
      <w:r>
        <w:rPr>
          <w:rFonts w:asciiTheme="minorHAnsi" w:eastAsiaTheme="minorEastAsia" w:hAnsiTheme="minorHAnsi" w:cstheme="minorBidi"/>
          <w:noProof/>
          <w:sz w:val="22"/>
          <w:szCs w:val="22"/>
          <w:lang w:val="en-US"/>
        </w:rPr>
        <w:tab/>
      </w:r>
      <w:r>
        <w:rPr>
          <w:noProof/>
        </w:rPr>
        <w:t>Plant Community Structure</w:t>
      </w:r>
      <w:r>
        <w:rPr>
          <w:noProof/>
        </w:rPr>
        <w:tab/>
      </w:r>
      <w:r>
        <w:rPr>
          <w:noProof/>
        </w:rPr>
        <w:fldChar w:fldCharType="begin"/>
      </w:r>
      <w:r>
        <w:rPr>
          <w:noProof/>
        </w:rPr>
        <w:instrText xml:space="preserve"> PAGEREF _Toc338703680 \h </w:instrText>
      </w:r>
      <w:r>
        <w:rPr>
          <w:noProof/>
        </w:rPr>
      </w:r>
      <w:r>
        <w:rPr>
          <w:noProof/>
        </w:rPr>
        <w:fldChar w:fldCharType="separate"/>
      </w:r>
      <w:r>
        <w:rPr>
          <w:noProof/>
        </w:rPr>
        <w:t>18</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2.3</w:t>
      </w:r>
      <w:r>
        <w:rPr>
          <w:rFonts w:asciiTheme="minorHAnsi" w:eastAsiaTheme="minorEastAsia" w:hAnsiTheme="minorHAnsi" w:cstheme="minorBidi"/>
          <w:noProof/>
          <w:sz w:val="22"/>
          <w:szCs w:val="22"/>
          <w:lang w:val="en-US"/>
        </w:rPr>
        <w:tab/>
      </w:r>
      <w:r>
        <w:rPr>
          <w:noProof/>
        </w:rPr>
        <w:t>Natural Disturbances</w:t>
      </w:r>
      <w:r>
        <w:rPr>
          <w:noProof/>
        </w:rPr>
        <w:tab/>
      </w:r>
      <w:r>
        <w:rPr>
          <w:noProof/>
        </w:rPr>
        <w:fldChar w:fldCharType="begin"/>
      </w:r>
      <w:r>
        <w:rPr>
          <w:noProof/>
        </w:rPr>
        <w:instrText xml:space="preserve"> PAGEREF _Toc338703681 \h </w:instrText>
      </w:r>
      <w:r>
        <w:rPr>
          <w:noProof/>
        </w:rPr>
      </w:r>
      <w:r>
        <w:rPr>
          <w:noProof/>
        </w:rPr>
        <w:fldChar w:fldCharType="separate"/>
      </w:r>
      <w:r>
        <w:rPr>
          <w:noProof/>
        </w:rPr>
        <w:t>18</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2.4</w:t>
      </w:r>
      <w:r>
        <w:rPr>
          <w:rFonts w:asciiTheme="minorHAnsi" w:eastAsiaTheme="minorEastAsia" w:hAnsiTheme="minorHAnsi" w:cstheme="minorBidi"/>
          <w:noProof/>
          <w:sz w:val="22"/>
          <w:szCs w:val="22"/>
          <w:lang w:val="en-US"/>
        </w:rPr>
        <w:tab/>
      </w:r>
      <w:r>
        <w:rPr>
          <w:noProof/>
        </w:rPr>
        <w:t>Biodiversity</w:t>
      </w:r>
      <w:r>
        <w:rPr>
          <w:noProof/>
        </w:rPr>
        <w:tab/>
      </w:r>
      <w:r>
        <w:rPr>
          <w:noProof/>
        </w:rPr>
        <w:fldChar w:fldCharType="begin"/>
      </w:r>
      <w:r>
        <w:rPr>
          <w:noProof/>
        </w:rPr>
        <w:instrText xml:space="preserve"> PAGEREF _Toc338703682 \h </w:instrText>
      </w:r>
      <w:r>
        <w:rPr>
          <w:noProof/>
        </w:rPr>
      </w:r>
      <w:r>
        <w:rPr>
          <w:noProof/>
        </w:rPr>
        <w:fldChar w:fldCharType="separate"/>
      </w:r>
      <w:r>
        <w:rPr>
          <w:noProof/>
        </w:rPr>
        <w:t>i</w:t>
      </w:r>
      <w:r>
        <w:rPr>
          <w:noProof/>
        </w:rPr>
        <w:fldChar w:fldCharType="end"/>
      </w:r>
    </w:p>
    <w:p w:rsidR="00794F48" w:rsidRDefault="00794F48">
      <w:pPr>
        <w:pStyle w:val="TOC1"/>
        <w:rPr>
          <w:rFonts w:asciiTheme="minorHAnsi" w:eastAsiaTheme="minorEastAsia" w:hAnsiTheme="minorHAnsi" w:cstheme="minorBidi"/>
          <w:b w:val="0"/>
          <w:noProof/>
          <w:sz w:val="22"/>
          <w:szCs w:val="22"/>
          <w:lang w:val="en-US"/>
        </w:rPr>
      </w:pPr>
      <w:r>
        <w:rPr>
          <w:noProof/>
        </w:rPr>
        <w:t>3.</w:t>
      </w:r>
      <w:r>
        <w:rPr>
          <w:rFonts w:asciiTheme="minorHAnsi" w:eastAsiaTheme="minorEastAsia" w:hAnsiTheme="minorHAnsi" w:cstheme="minorBidi"/>
          <w:b w:val="0"/>
          <w:noProof/>
          <w:sz w:val="22"/>
          <w:szCs w:val="22"/>
          <w:lang w:val="en-US"/>
        </w:rPr>
        <w:tab/>
      </w:r>
      <w:r>
        <w:rPr>
          <w:noProof/>
        </w:rPr>
        <w:t>The Case for Cumulative Effects Assessment</w:t>
      </w:r>
      <w:r>
        <w:rPr>
          <w:noProof/>
        </w:rPr>
        <w:tab/>
      </w:r>
      <w:r>
        <w:rPr>
          <w:noProof/>
        </w:rPr>
        <w:fldChar w:fldCharType="begin"/>
      </w:r>
      <w:r>
        <w:rPr>
          <w:noProof/>
        </w:rPr>
        <w:instrText xml:space="preserve"> PAGEREF _Toc338703683 \h </w:instrText>
      </w:r>
      <w:r>
        <w:rPr>
          <w:noProof/>
        </w:rPr>
      </w:r>
      <w:r>
        <w:rPr>
          <w:noProof/>
        </w:rPr>
        <w:fldChar w:fldCharType="separate"/>
      </w:r>
      <w:r>
        <w:rPr>
          <w:noProof/>
        </w:rPr>
        <w:t>2</w:t>
      </w:r>
      <w:r>
        <w:rPr>
          <w:noProof/>
        </w:rPr>
        <w:fldChar w:fldCharType="end"/>
      </w:r>
    </w:p>
    <w:p w:rsidR="00794F48" w:rsidRDefault="00794F48">
      <w:pPr>
        <w:pStyle w:val="TOC1"/>
        <w:rPr>
          <w:rFonts w:asciiTheme="minorHAnsi" w:eastAsiaTheme="minorEastAsia" w:hAnsiTheme="minorHAnsi" w:cstheme="minorBidi"/>
          <w:b w:val="0"/>
          <w:noProof/>
          <w:sz w:val="22"/>
          <w:szCs w:val="22"/>
          <w:lang w:val="en-US"/>
        </w:rPr>
      </w:pPr>
      <w:r>
        <w:rPr>
          <w:noProof/>
        </w:rPr>
        <w:t>4.</w:t>
      </w:r>
      <w:r>
        <w:rPr>
          <w:rFonts w:asciiTheme="minorHAnsi" w:eastAsiaTheme="minorEastAsia" w:hAnsiTheme="minorHAnsi" w:cstheme="minorBidi"/>
          <w:b w:val="0"/>
          <w:noProof/>
          <w:sz w:val="22"/>
          <w:szCs w:val="22"/>
          <w:lang w:val="en-US"/>
        </w:rPr>
        <w:tab/>
      </w:r>
      <w:r>
        <w:rPr>
          <w:noProof/>
        </w:rPr>
        <w:t>Overview of the CLFN SA ALCES Simulators</w:t>
      </w:r>
      <w:r>
        <w:rPr>
          <w:noProof/>
        </w:rPr>
        <w:tab/>
      </w:r>
      <w:r>
        <w:rPr>
          <w:noProof/>
        </w:rPr>
        <w:fldChar w:fldCharType="begin"/>
      </w:r>
      <w:r>
        <w:rPr>
          <w:noProof/>
        </w:rPr>
        <w:instrText xml:space="preserve"> PAGEREF _Toc338703684 \h </w:instrText>
      </w:r>
      <w:r>
        <w:rPr>
          <w:noProof/>
        </w:rPr>
      </w:r>
      <w:r>
        <w:rPr>
          <w:noProof/>
        </w:rPr>
        <w:fldChar w:fldCharType="separate"/>
      </w:r>
      <w:r>
        <w:rPr>
          <w:noProof/>
        </w:rPr>
        <w:t>6</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sidRPr="00EF6B6D">
        <w:rPr>
          <w:rFonts w:eastAsiaTheme="minorHAnsi"/>
          <w:noProof/>
        </w:rPr>
        <w:t>4.1</w:t>
      </w:r>
      <w:r>
        <w:rPr>
          <w:rFonts w:asciiTheme="minorHAnsi" w:eastAsiaTheme="minorEastAsia" w:hAnsiTheme="minorHAnsi" w:cstheme="minorBidi"/>
          <w:noProof/>
          <w:sz w:val="22"/>
          <w:szCs w:val="22"/>
          <w:lang w:val="en-US"/>
        </w:rPr>
        <w:tab/>
      </w:r>
      <w:r w:rsidRPr="00EF6B6D">
        <w:rPr>
          <w:rFonts w:eastAsiaTheme="minorHAnsi"/>
          <w:noProof/>
        </w:rPr>
        <w:t>ALCES CLFN Simulator</w:t>
      </w:r>
      <w:r>
        <w:rPr>
          <w:noProof/>
        </w:rPr>
        <w:tab/>
      </w:r>
      <w:r>
        <w:rPr>
          <w:noProof/>
        </w:rPr>
        <w:fldChar w:fldCharType="begin"/>
      </w:r>
      <w:r>
        <w:rPr>
          <w:noProof/>
        </w:rPr>
        <w:instrText xml:space="preserve"> PAGEREF _Toc338703685 \h </w:instrText>
      </w:r>
      <w:r>
        <w:rPr>
          <w:noProof/>
        </w:rPr>
      </w:r>
      <w:r>
        <w:rPr>
          <w:noProof/>
        </w:rPr>
        <w:fldChar w:fldCharType="separate"/>
      </w:r>
      <w:r>
        <w:rPr>
          <w:noProof/>
        </w:rPr>
        <w:t>6</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4.2</w:t>
      </w:r>
      <w:r>
        <w:rPr>
          <w:rFonts w:asciiTheme="minorHAnsi" w:eastAsiaTheme="minorEastAsia" w:hAnsiTheme="minorHAnsi" w:cstheme="minorBidi"/>
          <w:noProof/>
          <w:sz w:val="22"/>
          <w:szCs w:val="22"/>
          <w:lang w:val="en-US"/>
        </w:rPr>
        <w:tab/>
      </w:r>
      <w:r>
        <w:rPr>
          <w:noProof/>
        </w:rPr>
        <w:t>ALCES Mapper</w:t>
      </w:r>
      <w:r>
        <w:rPr>
          <w:noProof/>
        </w:rPr>
        <w:tab/>
      </w:r>
      <w:r>
        <w:rPr>
          <w:noProof/>
        </w:rPr>
        <w:fldChar w:fldCharType="begin"/>
      </w:r>
      <w:r>
        <w:rPr>
          <w:noProof/>
        </w:rPr>
        <w:instrText xml:space="preserve"> PAGEREF _Toc338703686 \h </w:instrText>
      </w:r>
      <w:r>
        <w:rPr>
          <w:noProof/>
        </w:rPr>
      </w:r>
      <w:r>
        <w:rPr>
          <w:noProof/>
        </w:rPr>
        <w:fldChar w:fldCharType="separate"/>
      </w:r>
      <w:r>
        <w:rPr>
          <w:noProof/>
        </w:rPr>
        <w:t>10</w:t>
      </w:r>
      <w:r>
        <w:rPr>
          <w:noProof/>
        </w:rPr>
        <w:fldChar w:fldCharType="end"/>
      </w:r>
    </w:p>
    <w:p w:rsidR="00794F48" w:rsidRDefault="00794F48">
      <w:pPr>
        <w:pStyle w:val="TOC1"/>
        <w:rPr>
          <w:rFonts w:asciiTheme="minorHAnsi" w:eastAsiaTheme="minorEastAsia" w:hAnsiTheme="minorHAnsi" w:cstheme="minorBidi"/>
          <w:b w:val="0"/>
          <w:noProof/>
          <w:sz w:val="22"/>
          <w:szCs w:val="22"/>
          <w:lang w:val="en-US"/>
        </w:rPr>
      </w:pPr>
      <w:r>
        <w:rPr>
          <w:noProof/>
        </w:rPr>
        <w:t>5.</w:t>
      </w:r>
      <w:r>
        <w:rPr>
          <w:rFonts w:asciiTheme="minorHAnsi" w:eastAsiaTheme="minorEastAsia" w:hAnsiTheme="minorHAnsi" w:cstheme="minorBidi"/>
          <w:b w:val="0"/>
          <w:noProof/>
          <w:sz w:val="22"/>
          <w:szCs w:val="22"/>
          <w:lang w:val="en-US"/>
        </w:rPr>
        <w:tab/>
      </w:r>
      <w:r>
        <w:rPr>
          <w:noProof/>
        </w:rPr>
        <w:t>An Overview of Land-uses</w:t>
      </w:r>
      <w:r>
        <w:rPr>
          <w:noProof/>
        </w:rPr>
        <w:tab/>
      </w:r>
      <w:r>
        <w:rPr>
          <w:noProof/>
        </w:rPr>
        <w:fldChar w:fldCharType="begin"/>
      </w:r>
      <w:r>
        <w:rPr>
          <w:noProof/>
        </w:rPr>
        <w:instrText xml:space="preserve"> PAGEREF _Toc338703687 \h </w:instrText>
      </w:r>
      <w:r>
        <w:rPr>
          <w:noProof/>
        </w:rPr>
      </w:r>
      <w:r>
        <w:rPr>
          <w:noProof/>
        </w:rPr>
        <w:fldChar w:fldCharType="separate"/>
      </w:r>
      <w:r>
        <w:rPr>
          <w:noProof/>
        </w:rPr>
        <w:t>13</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5.1</w:t>
      </w:r>
      <w:r>
        <w:rPr>
          <w:rFonts w:asciiTheme="minorHAnsi" w:eastAsiaTheme="minorEastAsia" w:hAnsiTheme="minorHAnsi" w:cstheme="minorBidi"/>
          <w:noProof/>
          <w:sz w:val="22"/>
          <w:szCs w:val="22"/>
          <w:lang w:val="en-US"/>
        </w:rPr>
        <w:tab/>
      </w:r>
      <w:r>
        <w:rPr>
          <w:noProof/>
        </w:rPr>
        <w:t>First Nations</w:t>
      </w:r>
      <w:r>
        <w:rPr>
          <w:noProof/>
        </w:rPr>
        <w:tab/>
      </w:r>
      <w:r>
        <w:rPr>
          <w:noProof/>
        </w:rPr>
        <w:fldChar w:fldCharType="begin"/>
      </w:r>
      <w:r>
        <w:rPr>
          <w:noProof/>
        </w:rPr>
        <w:instrText xml:space="preserve"> PAGEREF _Toc338703688 \h </w:instrText>
      </w:r>
      <w:r>
        <w:rPr>
          <w:noProof/>
        </w:rPr>
      </w:r>
      <w:r>
        <w:rPr>
          <w:noProof/>
        </w:rPr>
        <w:fldChar w:fldCharType="separate"/>
      </w:r>
      <w:r>
        <w:rPr>
          <w:noProof/>
        </w:rPr>
        <w:t>15</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5.2</w:t>
      </w:r>
      <w:r>
        <w:rPr>
          <w:rFonts w:asciiTheme="minorHAnsi" w:eastAsiaTheme="minorEastAsia" w:hAnsiTheme="minorHAnsi" w:cstheme="minorBidi"/>
          <w:noProof/>
          <w:sz w:val="22"/>
          <w:szCs w:val="22"/>
          <w:lang w:val="en-US"/>
        </w:rPr>
        <w:tab/>
      </w:r>
      <w:r>
        <w:rPr>
          <w:noProof/>
        </w:rPr>
        <w:t>Non-Aboriginal Populations</w:t>
      </w:r>
      <w:r>
        <w:rPr>
          <w:noProof/>
        </w:rPr>
        <w:tab/>
      </w:r>
      <w:r>
        <w:rPr>
          <w:noProof/>
        </w:rPr>
        <w:fldChar w:fldCharType="begin"/>
      </w:r>
      <w:r>
        <w:rPr>
          <w:noProof/>
        </w:rPr>
        <w:instrText xml:space="preserve"> PAGEREF _Toc338703689 \h </w:instrText>
      </w:r>
      <w:r>
        <w:rPr>
          <w:noProof/>
        </w:rPr>
      </w:r>
      <w:r>
        <w:rPr>
          <w:noProof/>
        </w:rPr>
        <w:fldChar w:fldCharType="separate"/>
      </w:r>
      <w:r>
        <w:rPr>
          <w:noProof/>
        </w:rPr>
        <w:t>25</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5.3</w:t>
      </w:r>
      <w:r>
        <w:rPr>
          <w:rFonts w:asciiTheme="minorHAnsi" w:eastAsiaTheme="minorEastAsia" w:hAnsiTheme="minorHAnsi" w:cstheme="minorBidi"/>
          <w:noProof/>
          <w:sz w:val="22"/>
          <w:szCs w:val="22"/>
          <w:lang w:val="en-US"/>
        </w:rPr>
        <w:tab/>
      </w:r>
      <w:r>
        <w:rPr>
          <w:noProof/>
        </w:rPr>
        <w:t>Agriculture</w:t>
      </w:r>
      <w:r>
        <w:rPr>
          <w:noProof/>
        </w:rPr>
        <w:tab/>
      </w:r>
      <w:r>
        <w:rPr>
          <w:noProof/>
        </w:rPr>
        <w:fldChar w:fldCharType="begin"/>
      </w:r>
      <w:r>
        <w:rPr>
          <w:noProof/>
        </w:rPr>
        <w:instrText xml:space="preserve"> PAGEREF _Toc338703690 \h </w:instrText>
      </w:r>
      <w:r>
        <w:rPr>
          <w:noProof/>
        </w:rPr>
      </w:r>
      <w:r>
        <w:rPr>
          <w:noProof/>
        </w:rPr>
        <w:fldChar w:fldCharType="separate"/>
      </w:r>
      <w:r>
        <w:rPr>
          <w:noProof/>
        </w:rPr>
        <w:t>29</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5.4</w:t>
      </w:r>
      <w:r>
        <w:rPr>
          <w:rFonts w:asciiTheme="minorHAnsi" w:eastAsiaTheme="minorEastAsia" w:hAnsiTheme="minorHAnsi" w:cstheme="minorBidi"/>
          <w:noProof/>
          <w:sz w:val="22"/>
          <w:szCs w:val="22"/>
          <w:lang w:val="en-US"/>
        </w:rPr>
        <w:tab/>
      </w:r>
      <w:r>
        <w:rPr>
          <w:noProof/>
        </w:rPr>
        <w:t>Military</w:t>
      </w:r>
      <w:r>
        <w:rPr>
          <w:noProof/>
        </w:rPr>
        <w:tab/>
      </w:r>
      <w:r>
        <w:rPr>
          <w:noProof/>
        </w:rPr>
        <w:fldChar w:fldCharType="begin"/>
      </w:r>
      <w:r>
        <w:rPr>
          <w:noProof/>
        </w:rPr>
        <w:instrText xml:space="preserve"> PAGEREF _Toc338703691 \h </w:instrText>
      </w:r>
      <w:r>
        <w:rPr>
          <w:noProof/>
        </w:rPr>
      </w:r>
      <w:r>
        <w:rPr>
          <w:noProof/>
        </w:rPr>
        <w:fldChar w:fldCharType="separate"/>
      </w:r>
      <w:r>
        <w:rPr>
          <w:noProof/>
        </w:rPr>
        <w:t>34</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5.5</w:t>
      </w:r>
      <w:r>
        <w:rPr>
          <w:rFonts w:asciiTheme="minorHAnsi" w:eastAsiaTheme="minorEastAsia" w:hAnsiTheme="minorHAnsi" w:cstheme="minorBidi"/>
          <w:noProof/>
          <w:sz w:val="22"/>
          <w:szCs w:val="22"/>
          <w:lang w:val="en-US"/>
        </w:rPr>
        <w:tab/>
      </w:r>
      <w:r>
        <w:rPr>
          <w:noProof/>
        </w:rPr>
        <w:t>Provincial parks and Recreation Areas</w:t>
      </w:r>
      <w:r>
        <w:rPr>
          <w:noProof/>
        </w:rPr>
        <w:tab/>
      </w:r>
      <w:r>
        <w:rPr>
          <w:noProof/>
        </w:rPr>
        <w:fldChar w:fldCharType="begin"/>
      </w:r>
      <w:r>
        <w:rPr>
          <w:noProof/>
        </w:rPr>
        <w:instrText xml:space="preserve"> PAGEREF _Toc338703692 \h </w:instrText>
      </w:r>
      <w:r>
        <w:rPr>
          <w:noProof/>
        </w:rPr>
      </w:r>
      <w:r>
        <w:rPr>
          <w:noProof/>
        </w:rPr>
        <w:fldChar w:fldCharType="separate"/>
      </w:r>
      <w:r>
        <w:rPr>
          <w:noProof/>
        </w:rPr>
        <w:t>37</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5.6</w:t>
      </w:r>
      <w:r>
        <w:rPr>
          <w:rFonts w:asciiTheme="minorHAnsi" w:eastAsiaTheme="minorEastAsia" w:hAnsiTheme="minorHAnsi" w:cstheme="minorBidi"/>
          <w:noProof/>
          <w:sz w:val="22"/>
          <w:szCs w:val="22"/>
          <w:lang w:val="en-US"/>
        </w:rPr>
        <w:tab/>
      </w:r>
      <w:r>
        <w:rPr>
          <w:noProof/>
        </w:rPr>
        <w:t>Forestry</w:t>
      </w:r>
      <w:r>
        <w:rPr>
          <w:noProof/>
        </w:rPr>
        <w:tab/>
      </w:r>
      <w:r>
        <w:rPr>
          <w:noProof/>
        </w:rPr>
        <w:fldChar w:fldCharType="begin"/>
      </w:r>
      <w:r>
        <w:rPr>
          <w:noProof/>
        </w:rPr>
        <w:instrText xml:space="preserve"> PAGEREF _Toc338703693 \h </w:instrText>
      </w:r>
      <w:r>
        <w:rPr>
          <w:noProof/>
        </w:rPr>
      </w:r>
      <w:r>
        <w:rPr>
          <w:noProof/>
        </w:rPr>
        <w:fldChar w:fldCharType="separate"/>
      </w:r>
      <w:r>
        <w:rPr>
          <w:noProof/>
        </w:rPr>
        <w:t>39</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5.7</w:t>
      </w:r>
      <w:r>
        <w:rPr>
          <w:rFonts w:asciiTheme="minorHAnsi" w:eastAsiaTheme="minorEastAsia" w:hAnsiTheme="minorHAnsi" w:cstheme="minorBidi"/>
          <w:noProof/>
          <w:sz w:val="22"/>
          <w:szCs w:val="22"/>
          <w:lang w:val="en-US"/>
        </w:rPr>
        <w:tab/>
      </w:r>
      <w:r>
        <w:rPr>
          <w:noProof/>
        </w:rPr>
        <w:t>Oil and Gas</w:t>
      </w:r>
      <w:r>
        <w:rPr>
          <w:noProof/>
        </w:rPr>
        <w:tab/>
      </w:r>
      <w:r>
        <w:rPr>
          <w:noProof/>
        </w:rPr>
        <w:fldChar w:fldCharType="begin"/>
      </w:r>
      <w:r>
        <w:rPr>
          <w:noProof/>
        </w:rPr>
        <w:instrText xml:space="preserve"> PAGEREF _Toc338703694 \h </w:instrText>
      </w:r>
      <w:r>
        <w:rPr>
          <w:noProof/>
        </w:rPr>
      </w:r>
      <w:r>
        <w:rPr>
          <w:noProof/>
        </w:rPr>
        <w:fldChar w:fldCharType="separate"/>
      </w:r>
      <w:r>
        <w:rPr>
          <w:noProof/>
        </w:rPr>
        <w:t>41</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5.8</w:t>
      </w:r>
      <w:r>
        <w:rPr>
          <w:rFonts w:asciiTheme="minorHAnsi" w:eastAsiaTheme="minorEastAsia" w:hAnsiTheme="minorHAnsi" w:cstheme="minorBidi"/>
          <w:noProof/>
          <w:sz w:val="22"/>
          <w:szCs w:val="22"/>
          <w:lang w:val="en-US"/>
        </w:rPr>
        <w:tab/>
      </w:r>
      <w:r>
        <w:rPr>
          <w:noProof/>
        </w:rPr>
        <w:t>Transportation</w:t>
      </w:r>
      <w:r>
        <w:rPr>
          <w:noProof/>
        </w:rPr>
        <w:tab/>
      </w:r>
      <w:r>
        <w:rPr>
          <w:noProof/>
        </w:rPr>
        <w:fldChar w:fldCharType="begin"/>
      </w:r>
      <w:r>
        <w:rPr>
          <w:noProof/>
        </w:rPr>
        <w:instrText xml:space="preserve"> PAGEREF _Toc338703695 \h </w:instrText>
      </w:r>
      <w:r>
        <w:rPr>
          <w:noProof/>
        </w:rPr>
      </w:r>
      <w:r>
        <w:rPr>
          <w:noProof/>
        </w:rPr>
        <w:fldChar w:fldCharType="separate"/>
      </w:r>
      <w:r>
        <w:rPr>
          <w:noProof/>
        </w:rPr>
        <w:t>49</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5.9</w:t>
      </w:r>
      <w:r>
        <w:rPr>
          <w:rFonts w:asciiTheme="minorHAnsi" w:eastAsiaTheme="minorEastAsia" w:hAnsiTheme="minorHAnsi" w:cstheme="minorBidi"/>
          <w:noProof/>
          <w:sz w:val="22"/>
          <w:szCs w:val="22"/>
          <w:lang w:val="en-US"/>
        </w:rPr>
        <w:tab/>
      </w:r>
      <w:r>
        <w:rPr>
          <w:noProof/>
        </w:rPr>
        <w:t>Current Status of Multiple Overlapping Land-uses</w:t>
      </w:r>
      <w:r>
        <w:rPr>
          <w:noProof/>
        </w:rPr>
        <w:tab/>
      </w:r>
      <w:r>
        <w:rPr>
          <w:noProof/>
        </w:rPr>
        <w:fldChar w:fldCharType="begin"/>
      </w:r>
      <w:r>
        <w:rPr>
          <w:noProof/>
        </w:rPr>
        <w:instrText xml:space="preserve"> PAGEREF _Toc338703696 \h </w:instrText>
      </w:r>
      <w:r>
        <w:rPr>
          <w:noProof/>
        </w:rPr>
      </w:r>
      <w:r>
        <w:rPr>
          <w:noProof/>
        </w:rPr>
        <w:fldChar w:fldCharType="separate"/>
      </w:r>
      <w:r>
        <w:rPr>
          <w:noProof/>
        </w:rPr>
        <w:t>53</w:t>
      </w:r>
      <w:r>
        <w:rPr>
          <w:noProof/>
        </w:rPr>
        <w:fldChar w:fldCharType="end"/>
      </w:r>
    </w:p>
    <w:p w:rsidR="00794F48" w:rsidRDefault="00794F48">
      <w:pPr>
        <w:pStyle w:val="TOC1"/>
        <w:rPr>
          <w:rFonts w:asciiTheme="minorHAnsi" w:eastAsiaTheme="minorEastAsia" w:hAnsiTheme="minorHAnsi" w:cstheme="minorBidi"/>
          <w:b w:val="0"/>
          <w:noProof/>
          <w:sz w:val="22"/>
          <w:szCs w:val="22"/>
          <w:lang w:val="en-US"/>
        </w:rPr>
      </w:pPr>
      <w:r>
        <w:rPr>
          <w:noProof/>
        </w:rPr>
        <w:t>6.</w:t>
      </w:r>
      <w:r>
        <w:rPr>
          <w:rFonts w:asciiTheme="minorHAnsi" w:eastAsiaTheme="minorEastAsia" w:hAnsiTheme="minorHAnsi" w:cstheme="minorBidi"/>
          <w:b w:val="0"/>
          <w:noProof/>
          <w:sz w:val="22"/>
          <w:szCs w:val="22"/>
          <w:lang w:val="en-US"/>
        </w:rPr>
        <w:tab/>
      </w:r>
      <w:r>
        <w:rPr>
          <w:noProof/>
        </w:rPr>
        <w:t>Performance Indicators</w:t>
      </w:r>
      <w:r>
        <w:rPr>
          <w:noProof/>
        </w:rPr>
        <w:tab/>
      </w:r>
      <w:r>
        <w:rPr>
          <w:noProof/>
        </w:rPr>
        <w:fldChar w:fldCharType="begin"/>
      </w:r>
      <w:r>
        <w:rPr>
          <w:noProof/>
        </w:rPr>
        <w:instrText xml:space="preserve"> PAGEREF _Toc338703697 \h </w:instrText>
      </w:r>
      <w:r>
        <w:rPr>
          <w:noProof/>
        </w:rPr>
      </w:r>
      <w:r>
        <w:rPr>
          <w:noProof/>
        </w:rPr>
        <w:fldChar w:fldCharType="separate"/>
      </w:r>
      <w:r>
        <w:rPr>
          <w:noProof/>
        </w:rPr>
        <w:t>64</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6.1</w:t>
      </w:r>
      <w:r>
        <w:rPr>
          <w:rFonts w:asciiTheme="minorHAnsi" w:eastAsiaTheme="minorEastAsia" w:hAnsiTheme="minorHAnsi" w:cstheme="minorBidi"/>
          <w:noProof/>
          <w:sz w:val="22"/>
          <w:szCs w:val="22"/>
          <w:lang w:val="en-US"/>
        </w:rPr>
        <w:tab/>
      </w:r>
      <w:r>
        <w:rPr>
          <w:noProof/>
        </w:rPr>
        <w:t>Landscape and Ecological Indicators</w:t>
      </w:r>
      <w:r>
        <w:rPr>
          <w:noProof/>
        </w:rPr>
        <w:tab/>
      </w:r>
      <w:r>
        <w:rPr>
          <w:noProof/>
        </w:rPr>
        <w:fldChar w:fldCharType="begin"/>
      </w:r>
      <w:r>
        <w:rPr>
          <w:noProof/>
        </w:rPr>
        <w:instrText xml:space="preserve"> PAGEREF _Toc338703698 \h </w:instrText>
      </w:r>
      <w:r>
        <w:rPr>
          <w:noProof/>
        </w:rPr>
      </w:r>
      <w:r>
        <w:rPr>
          <w:noProof/>
        </w:rPr>
        <w:fldChar w:fldCharType="separate"/>
      </w:r>
      <w:r>
        <w:rPr>
          <w:noProof/>
        </w:rPr>
        <w:t>66</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6.2</w:t>
      </w:r>
      <w:r>
        <w:rPr>
          <w:rFonts w:asciiTheme="minorHAnsi" w:eastAsiaTheme="minorEastAsia" w:hAnsiTheme="minorHAnsi" w:cstheme="minorBidi"/>
          <w:noProof/>
          <w:sz w:val="22"/>
          <w:szCs w:val="22"/>
          <w:lang w:val="en-US"/>
        </w:rPr>
        <w:tab/>
      </w:r>
      <w:r>
        <w:rPr>
          <w:noProof/>
        </w:rPr>
        <w:t>Methodologies</w:t>
      </w:r>
      <w:r>
        <w:rPr>
          <w:noProof/>
        </w:rPr>
        <w:tab/>
      </w:r>
      <w:r>
        <w:rPr>
          <w:noProof/>
        </w:rPr>
        <w:fldChar w:fldCharType="begin"/>
      </w:r>
      <w:r>
        <w:rPr>
          <w:noProof/>
        </w:rPr>
        <w:instrText xml:space="preserve"> PAGEREF _Toc338703699 \h </w:instrText>
      </w:r>
      <w:r>
        <w:rPr>
          <w:noProof/>
        </w:rPr>
      </w:r>
      <w:r>
        <w:rPr>
          <w:noProof/>
        </w:rPr>
        <w:fldChar w:fldCharType="separate"/>
      </w:r>
      <w:r>
        <w:rPr>
          <w:noProof/>
        </w:rPr>
        <w:t>66</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6.2.1</w:t>
      </w:r>
      <w:r>
        <w:rPr>
          <w:rFonts w:asciiTheme="minorHAnsi" w:eastAsiaTheme="minorEastAsia" w:hAnsiTheme="minorHAnsi" w:cstheme="minorBidi"/>
          <w:noProof/>
          <w:sz w:val="22"/>
          <w:szCs w:val="22"/>
          <w:lang w:val="en-US"/>
        </w:rPr>
        <w:tab/>
      </w:r>
      <w:r>
        <w:rPr>
          <w:noProof/>
        </w:rPr>
        <w:t>Water Supply and Demand</w:t>
      </w:r>
      <w:r>
        <w:rPr>
          <w:noProof/>
        </w:rPr>
        <w:tab/>
      </w:r>
      <w:r>
        <w:rPr>
          <w:noProof/>
        </w:rPr>
        <w:fldChar w:fldCharType="begin"/>
      </w:r>
      <w:r>
        <w:rPr>
          <w:noProof/>
        </w:rPr>
        <w:instrText xml:space="preserve"> PAGEREF _Toc338703700 \h </w:instrText>
      </w:r>
      <w:r>
        <w:rPr>
          <w:noProof/>
        </w:rPr>
      </w:r>
      <w:r>
        <w:rPr>
          <w:noProof/>
        </w:rPr>
        <w:fldChar w:fldCharType="separate"/>
      </w:r>
      <w:r>
        <w:rPr>
          <w:noProof/>
        </w:rPr>
        <w:t>66</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6.2.2</w:t>
      </w:r>
      <w:r>
        <w:rPr>
          <w:rFonts w:asciiTheme="minorHAnsi" w:eastAsiaTheme="minorEastAsia" w:hAnsiTheme="minorHAnsi" w:cstheme="minorBidi"/>
          <w:noProof/>
          <w:sz w:val="22"/>
          <w:szCs w:val="22"/>
          <w:lang w:val="en-US"/>
        </w:rPr>
        <w:tab/>
      </w:r>
      <w:r>
        <w:rPr>
          <w:noProof/>
        </w:rPr>
        <w:t>Relative Water Quality Index</w:t>
      </w:r>
      <w:r>
        <w:rPr>
          <w:noProof/>
        </w:rPr>
        <w:tab/>
      </w:r>
      <w:r>
        <w:rPr>
          <w:noProof/>
        </w:rPr>
        <w:fldChar w:fldCharType="begin"/>
      </w:r>
      <w:r>
        <w:rPr>
          <w:noProof/>
        </w:rPr>
        <w:instrText xml:space="preserve"> PAGEREF _Toc338703701 \h </w:instrText>
      </w:r>
      <w:r>
        <w:rPr>
          <w:noProof/>
        </w:rPr>
      </w:r>
      <w:r>
        <w:rPr>
          <w:noProof/>
        </w:rPr>
        <w:fldChar w:fldCharType="separate"/>
      </w:r>
      <w:r>
        <w:rPr>
          <w:noProof/>
        </w:rPr>
        <w:t>66</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6.2.3</w:t>
      </w:r>
      <w:r>
        <w:rPr>
          <w:rFonts w:asciiTheme="minorHAnsi" w:eastAsiaTheme="minorEastAsia" w:hAnsiTheme="minorHAnsi" w:cstheme="minorBidi"/>
          <w:noProof/>
          <w:sz w:val="22"/>
          <w:szCs w:val="22"/>
          <w:lang w:val="en-US"/>
        </w:rPr>
        <w:tab/>
      </w:r>
      <w:r>
        <w:rPr>
          <w:noProof/>
        </w:rPr>
        <w:t>Landscape Metrics</w:t>
      </w:r>
      <w:r>
        <w:rPr>
          <w:noProof/>
        </w:rPr>
        <w:tab/>
      </w:r>
      <w:r>
        <w:rPr>
          <w:noProof/>
        </w:rPr>
        <w:fldChar w:fldCharType="begin"/>
      </w:r>
      <w:r>
        <w:rPr>
          <w:noProof/>
        </w:rPr>
        <w:instrText xml:space="preserve"> PAGEREF _Toc338703702 \h </w:instrText>
      </w:r>
      <w:r>
        <w:rPr>
          <w:noProof/>
        </w:rPr>
      </w:r>
      <w:r>
        <w:rPr>
          <w:noProof/>
        </w:rPr>
        <w:fldChar w:fldCharType="separate"/>
      </w:r>
      <w:r>
        <w:rPr>
          <w:noProof/>
        </w:rPr>
        <w:t>67</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6.2.4</w:t>
      </w:r>
      <w:r>
        <w:rPr>
          <w:rFonts w:asciiTheme="minorHAnsi" w:eastAsiaTheme="minorEastAsia" w:hAnsiTheme="minorHAnsi" w:cstheme="minorBidi"/>
          <w:noProof/>
          <w:sz w:val="22"/>
          <w:szCs w:val="22"/>
          <w:lang w:val="en-US"/>
        </w:rPr>
        <w:tab/>
      </w:r>
      <w:r>
        <w:rPr>
          <w:noProof/>
        </w:rPr>
        <w:t>Natural Areas</w:t>
      </w:r>
      <w:r>
        <w:rPr>
          <w:noProof/>
        </w:rPr>
        <w:tab/>
      </w:r>
      <w:r>
        <w:rPr>
          <w:noProof/>
        </w:rPr>
        <w:fldChar w:fldCharType="begin"/>
      </w:r>
      <w:r>
        <w:rPr>
          <w:noProof/>
        </w:rPr>
        <w:instrText xml:space="preserve"> PAGEREF _Toc338703703 \h </w:instrText>
      </w:r>
      <w:r>
        <w:rPr>
          <w:noProof/>
        </w:rPr>
      </w:r>
      <w:r>
        <w:rPr>
          <w:noProof/>
        </w:rPr>
        <w:fldChar w:fldCharType="separate"/>
      </w:r>
      <w:r>
        <w:rPr>
          <w:noProof/>
        </w:rPr>
        <w:t>67</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lang w:eastAsia="en-CA"/>
        </w:rPr>
        <w:t>6.2.5</w:t>
      </w:r>
      <w:r>
        <w:rPr>
          <w:rFonts w:asciiTheme="minorHAnsi" w:eastAsiaTheme="minorEastAsia" w:hAnsiTheme="minorHAnsi" w:cstheme="minorBidi"/>
          <w:noProof/>
          <w:sz w:val="22"/>
          <w:szCs w:val="22"/>
          <w:lang w:val="en-US"/>
        </w:rPr>
        <w:tab/>
      </w:r>
      <w:r>
        <w:rPr>
          <w:noProof/>
          <w:lang w:eastAsia="en-CA"/>
        </w:rPr>
        <w:t>Anthropogenic Area</w:t>
      </w:r>
      <w:r>
        <w:rPr>
          <w:noProof/>
        </w:rPr>
        <w:tab/>
      </w:r>
      <w:r>
        <w:rPr>
          <w:noProof/>
        </w:rPr>
        <w:fldChar w:fldCharType="begin"/>
      </w:r>
      <w:r>
        <w:rPr>
          <w:noProof/>
        </w:rPr>
        <w:instrText xml:space="preserve"> PAGEREF _Toc338703704 \h </w:instrText>
      </w:r>
      <w:r>
        <w:rPr>
          <w:noProof/>
        </w:rPr>
      </w:r>
      <w:r>
        <w:rPr>
          <w:noProof/>
        </w:rPr>
        <w:fldChar w:fldCharType="separate"/>
      </w:r>
      <w:r>
        <w:rPr>
          <w:noProof/>
        </w:rPr>
        <w:t>68</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lang w:eastAsia="en-CA"/>
        </w:rPr>
        <w:t>6.2.6</w:t>
      </w:r>
      <w:r>
        <w:rPr>
          <w:rFonts w:asciiTheme="minorHAnsi" w:eastAsiaTheme="minorEastAsia" w:hAnsiTheme="minorHAnsi" w:cstheme="minorBidi"/>
          <w:noProof/>
          <w:sz w:val="22"/>
          <w:szCs w:val="22"/>
          <w:lang w:val="en-US"/>
        </w:rPr>
        <w:tab/>
      </w:r>
      <w:r>
        <w:rPr>
          <w:noProof/>
          <w:lang w:eastAsia="en-CA"/>
        </w:rPr>
        <w:t>Biotic Indicators</w:t>
      </w:r>
      <w:r>
        <w:rPr>
          <w:noProof/>
        </w:rPr>
        <w:tab/>
      </w:r>
      <w:r>
        <w:rPr>
          <w:noProof/>
        </w:rPr>
        <w:fldChar w:fldCharType="begin"/>
      </w:r>
      <w:r>
        <w:rPr>
          <w:noProof/>
        </w:rPr>
        <w:instrText xml:space="preserve"> PAGEREF _Toc338703705 \h </w:instrText>
      </w:r>
      <w:r>
        <w:rPr>
          <w:noProof/>
        </w:rPr>
      </w:r>
      <w:r>
        <w:rPr>
          <w:noProof/>
        </w:rPr>
        <w:fldChar w:fldCharType="separate"/>
      </w:r>
      <w:r>
        <w:rPr>
          <w:noProof/>
        </w:rPr>
        <w:t>68</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6.2.7</w:t>
      </w:r>
      <w:r>
        <w:rPr>
          <w:rFonts w:asciiTheme="minorHAnsi" w:eastAsiaTheme="minorEastAsia" w:hAnsiTheme="minorHAnsi" w:cstheme="minorBidi"/>
          <w:noProof/>
          <w:sz w:val="22"/>
          <w:szCs w:val="22"/>
          <w:lang w:val="en-US"/>
        </w:rPr>
        <w:tab/>
      </w:r>
      <w:r>
        <w:rPr>
          <w:noProof/>
        </w:rPr>
        <w:t>Moose Habitat Effectiveness</w:t>
      </w:r>
      <w:r>
        <w:rPr>
          <w:noProof/>
        </w:rPr>
        <w:tab/>
      </w:r>
      <w:r>
        <w:rPr>
          <w:noProof/>
        </w:rPr>
        <w:fldChar w:fldCharType="begin"/>
      </w:r>
      <w:r>
        <w:rPr>
          <w:noProof/>
        </w:rPr>
        <w:instrText xml:space="preserve"> PAGEREF _Toc338703706 \h </w:instrText>
      </w:r>
      <w:r>
        <w:rPr>
          <w:noProof/>
        </w:rPr>
      </w:r>
      <w:r>
        <w:rPr>
          <w:noProof/>
        </w:rPr>
        <w:fldChar w:fldCharType="separate"/>
      </w:r>
      <w:r>
        <w:rPr>
          <w:noProof/>
        </w:rPr>
        <w:t>73</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6.2.8</w:t>
      </w:r>
      <w:r>
        <w:rPr>
          <w:rFonts w:asciiTheme="minorHAnsi" w:eastAsiaTheme="minorEastAsia" w:hAnsiTheme="minorHAnsi" w:cstheme="minorBidi"/>
          <w:noProof/>
          <w:sz w:val="22"/>
          <w:szCs w:val="22"/>
          <w:lang w:val="en-US"/>
        </w:rPr>
        <w:tab/>
      </w:r>
      <w:r>
        <w:rPr>
          <w:noProof/>
        </w:rPr>
        <w:t>Moose Harvest</w:t>
      </w:r>
      <w:r>
        <w:rPr>
          <w:noProof/>
        </w:rPr>
        <w:tab/>
      </w:r>
      <w:r>
        <w:rPr>
          <w:noProof/>
        </w:rPr>
        <w:fldChar w:fldCharType="begin"/>
      </w:r>
      <w:r>
        <w:rPr>
          <w:noProof/>
        </w:rPr>
        <w:instrText xml:space="preserve"> PAGEREF _Toc338703707 \h </w:instrText>
      </w:r>
      <w:r>
        <w:rPr>
          <w:noProof/>
        </w:rPr>
      </w:r>
      <w:r>
        <w:rPr>
          <w:noProof/>
        </w:rPr>
        <w:fldChar w:fldCharType="separate"/>
      </w:r>
      <w:r>
        <w:rPr>
          <w:noProof/>
        </w:rPr>
        <w:t>77</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6.2.9</w:t>
      </w:r>
      <w:r>
        <w:rPr>
          <w:rFonts w:asciiTheme="minorHAnsi" w:eastAsiaTheme="minorEastAsia" w:hAnsiTheme="minorHAnsi" w:cstheme="minorBidi"/>
          <w:noProof/>
          <w:sz w:val="22"/>
          <w:szCs w:val="22"/>
          <w:lang w:val="en-US"/>
        </w:rPr>
        <w:tab/>
      </w:r>
      <w:r>
        <w:rPr>
          <w:noProof/>
        </w:rPr>
        <w:t>Fisher</w:t>
      </w:r>
      <w:r>
        <w:rPr>
          <w:noProof/>
        </w:rPr>
        <w:tab/>
      </w:r>
      <w:r>
        <w:rPr>
          <w:noProof/>
        </w:rPr>
        <w:fldChar w:fldCharType="begin"/>
      </w:r>
      <w:r>
        <w:rPr>
          <w:noProof/>
        </w:rPr>
        <w:instrText xml:space="preserve"> PAGEREF _Toc338703708 \h </w:instrText>
      </w:r>
      <w:r>
        <w:rPr>
          <w:noProof/>
        </w:rPr>
      </w:r>
      <w:r>
        <w:rPr>
          <w:noProof/>
        </w:rPr>
        <w:fldChar w:fldCharType="separate"/>
      </w:r>
      <w:r>
        <w:rPr>
          <w:noProof/>
        </w:rPr>
        <w:t>78</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6.2.10</w:t>
      </w:r>
      <w:r>
        <w:rPr>
          <w:rFonts w:asciiTheme="minorHAnsi" w:eastAsiaTheme="minorEastAsia" w:hAnsiTheme="minorHAnsi" w:cstheme="minorBidi"/>
          <w:noProof/>
          <w:sz w:val="22"/>
          <w:szCs w:val="22"/>
          <w:lang w:val="en-US"/>
        </w:rPr>
        <w:tab/>
      </w:r>
      <w:r>
        <w:rPr>
          <w:noProof/>
        </w:rPr>
        <w:t>Index of Native Fish Integrity</w:t>
      </w:r>
      <w:r>
        <w:rPr>
          <w:noProof/>
        </w:rPr>
        <w:tab/>
      </w:r>
      <w:r>
        <w:rPr>
          <w:noProof/>
        </w:rPr>
        <w:fldChar w:fldCharType="begin"/>
      </w:r>
      <w:r>
        <w:rPr>
          <w:noProof/>
        </w:rPr>
        <w:instrText xml:space="preserve"> PAGEREF _Toc338703709 \h </w:instrText>
      </w:r>
      <w:r>
        <w:rPr>
          <w:noProof/>
        </w:rPr>
      </w:r>
      <w:r>
        <w:rPr>
          <w:noProof/>
        </w:rPr>
        <w:fldChar w:fldCharType="separate"/>
      </w:r>
      <w:r>
        <w:rPr>
          <w:noProof/>
        </w:rPr>
        <w:t>80</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6.2.11</w:t>
      </w:r>
      <w:r>
        <w:rPr>
          <w:rFonts w:asciiTheme="minorHAnsi" w:eastAsiaTheme="minorEastAsia" w:hAnsiTheme="minorHAnsi" w:cstheme="minorBidi"/>
          <w:noProof/>
          <w:sz w:val="22"/>
          <w:szCs w:val="22"/>
          <w:lang w:val="en-US"/>
        </w:rPr>
        <w:tab/>
      </w:r>
      <w:r>
        <w:rPr>
          <w:noProof/>
        </w:rPr>
        <w:t>Sulphur Emissions</w:t>
      </w:r>
      <w:r>
        <w:rPr>
          <w:noProof/>
        </w:rPr>
        <w:tab/>
      </w:r>
      <w:r>
        <w:rPr>
          <w:noProof/>
        </w:rPr>
        <w:fldChar w:fldCharType="begin"/>
      </w:r>
      <w:r>
        <w:rPr>
          <w:noProof/>
        </w:rPr>
        <w:instrText xml:space="preserve"> PAGEREF _Toc338703710 \h </w:instrText>
      </w:r>
      <w:r>
        <w:rPr>
          <w:noProof/>
        </w:rPr>
      </w:r>
      <w:r>
        <w:rPr>
          <w:noProof/>
        </w:rPr>
        <w:fldChar w:fldCharType="separate"/>
      </w:r>
      <w:r>
        <w:rPr>
          <w:noProof/>
        </w:rPr>
        <w:t>83</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6.2.12</w:t>
      </w:r>
      <w:r>
        <w:rPr>
          <w:rFonts w:asciiTheme="minorHAnsi" w:eastAsiaTheme="minorEastAsia" w:hAnsiTheme="minorHAnsi" w:cstheme="minorBidi"/>
          <w:noProof/>
          <w:sz w:val="22"/>
          <w:szCs w:val="22"/>
          <w:lang w:val="en-US"/>
        </w:rPr>
        <w:tab/>
      </w:r>
      <w:r>
        <w:rPr>
          <w:noProof/>
        </w:rPr>
        <w:t>Quantifying Risk</w:t>
      </w:r>
      <w:r>
        <w:rPr>
          <w:noProof/>
        </w:rPr>
        <w:tab/>
      </w:r>
      <w:r>
        <w:rPr>
          <w:noProof/>
        </w:rPr>
        <w:fldChar w:fldCharType="begin"/>
      </w:r>
      <w:r>
        <w:rPr>
          <w:noProof/>
        </w:rPr>
        <w:instrText xml:space="preserve"> PAGEREF _Toc338703711 \h </w:instrText>
      </w:r>
      <w:r>
        <w:rPr>
          <w:noProof/>
        </w:rPr>
      </w:r>
      <w:r>
        <w:rPr>
          <w:noProof/>
        </w:rPr>
        <w:fldChar w:fldCharType="separate"/>
      </w:r>
      <w:r>
        <w:rPr>
          <w:noProof/>
        </w:rPr>
        <w:t>84</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6.2.13</w:t>
      </w:r>
      <w:r>
        <w:rPr>
          <w:rFonts w:asciiTheme="minorHAnsi" w:eastAsiaTheme="minorEastAsia" w:hAnsiTheme="minorHAnsi" w:cstheme="minorBidi"/>
          <w:noProof/>
          <w:sz w:val="22"/>
          <w:szCs w:val="22"/>
          <w:lang w:val="en-US"/>
        </w:rPr>
        <w:tab/>
      </w:r>
      <w:r>
        <w:rPr>
          <w:noProof/>
        </w:rPr>
        <w:t>Ecological Indicator Risk Categories</w:t>
      </w:r>
      <w:r>
        <w:rPr>
          <w:noProof/>
        </w:rPr>
        <w:tab/>
      </w:r>
      <w:r>
        <w:rPr>
          <w:noProof/>
        </w:rPr>
        <w:fldChar w:fldCharType="begin"/>
      </w:r>
      <w:r>
        <w:rPr>
          <w:noProof/>
        </w:rPr>
        <w:instrText xml:space="preserve"> PAGEREF _Toc338703712 \h </w:instrText>
      </w:r>
      <w:r>
        <w:rPr>
          <w:noProof/>
        </w:rPr>
      </w:r>
      <w:r>
        <w:rPr>
          <w:noProof/>
        </w:rPr>
        <w:fldChar w:fldCharType="separate"/>
      </w:r>
      <w:r>
        <w:rPr>
          <w:noProof/>
        </w:rPr>
        <w:t>84</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6.3</w:t>
      </w:r>
      <w:r>
        <w:rPr>
          <w:rFonts w:asciiTheme="minorHAnsi" w:eastAsiaTheme="minorEastAsia" w:hAnsiTheme="minorHAnsi" w:cstheme="minorBidi"/>
          <w:noProof/>
          <w:sz w:val="22"/>
          <w:szCs w:val="22"/>
          <w:lang w:val="en-US"/>
        </w:rPr>
        <w:tab/>
      </w:r>
      <w:r>
        <w:rPr>
          <w:noProof/>
        </w:rPr>
        <w:t>Social and Cultural</w:t>
      </w:r>
      <w:r>
        <w:rPr>
          <w:noProof/>
        </w:rPr>
        <w:tab/>
      </w:r>
      <w:r>
        <w:rPr>
          <w:noProof/>
        </w:rPr>
        <w:fldChar w:fldCharType="begin"/>
      </w:r>
      <w:r>
        <w:rPr>
          <w:noProof/>
        </w:rPr>
        <w:instrText xml:space="preserve"> PAGEREF _Toc338703713 \h </w:instrText>
      </w:r>
      <w:r>
        <w:rPr>
          <w:noProof/>
        </w:rPr>
      </w:r>
      <w:r>
        <w:rPr>
          <w:noProof/>
        </w:rPr>
        <w:fldChar w:fldCharType="separate"/>
      </w:r>
      <w:r>
        <w:rPr>
          <w:noProof/>
        </w:rPr>
        <w:t>87</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6.4</w:t>
      </w:r>
      <w:r>
        <w:rPr>
          <w:rFonts w:asciiTheme="minorHAnsi" w:eastAsiaTheme="minorEastAsia" w:hAnsiTheme="minorHAnsi" w:cstheme="minorBidi"/>
          <w:noProof/>
          <w:sz w:val="22"/>
          <w:szCs w:val="22"/>
          <w:lang w:val="en-US"/>
        </w:rPr>
        <w:tab/>
      </w:r>
      <w:r>
        <w:rPr>
          <w:noProof/>
        </w:rPr>
        <w:t>Commodity and Economic</w:t>
      </w:r>
      <w:r>
        <w:rPr>
          <w:noProof/>
        </w:rPr>
        <w:tab/>
      </w:r>
      <w:r>
        <w:rPr>
          <w:noProof/>
        </w:rPr>
        <w:fldChar w:fldCharType="begin"/>
      </w:r>
      <w:r>
        <w:rPr>
          <w:noProof/>
        </w:rPr>
        <w:instrText xml:space="preserve"> PAGEREF _Toc338703714 \h </w:instrText>
      </w:r>
      <w:r>
        <w:rPr>
          <w:noProof/>
        </w:rPr>
      </w:r>
      <w:r>
        <w:rPr>
          <w:noProof/>
        </w:rPr>
        <w:fldChar w:fldCharType="separate"/>
      </w:r>
      <w:r>
        <w:rPr>
          <w:noProof/>
        </w:rPr>
        <w:t>87</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6.4.1</w:t>
      </w:r>
      <w:r>
        <w:rPr>
          <w:rFonts w:asciiTheme="minorHAnsi" w:eastAsiaTheme="minorEastAsia" w:hAnsiTheme="minorHAnsi" w:cstheme="minorBidi"/>
          <w:noProof/>
          <w:sz w:val="22"/>
          <w:szCs w:val="22"/>
          <w:lang w:val="en-US"/>
        </w:rPr>
        <w:tab/>
      </w:r>
      <w:r>
        <w:rPr>
          <w:noProof/>
        </w:rPr>
        <w:t>Methodologies</w:t>
      </w:r>
      <w:r>
        <w:rPr>
          <w:noProof/>
        </w:rPr>
        <w:tab/>
      </w:r>
      <w:r>
        <w:rPr>
          <w:noProof/>
        </w:rPr>
        <w:fldChar w:fldCharType="begin"/>
      </w:r>
      <w:r>
        <w:rPr>
          <w:noProof/>
        </w:rPr>
        <w:instrText xml:space="preserve"> PAGEREF _Toc338703715 \h </w:instrText>
      </w:r>
      <w:r>
        <w:rPr>
          <w:noProof/>
        </w:rPr>
      </w:r>
      <w:r>
        <w:rPr>
          <w:noProof/>
        </w:rPr>
        <w:fldChar w:fldCharType="separate"/>
      </w:r>
      <w:r>
        <w:rPr>
          <w:noProof/>
        </w:rPr>
        <w:t>87</w:t>
      </w:r>
      <w:r>
        <w:rPr>
          <w:noProof/>
        </w:rPr>
        <w:fldChar w:fldCharType="end"/>
      </w:r>
    </w:p>
    <w:p w:rsidR="00794F48" w:rsidRDefault="00794F48">
      <w:pPr>
        <w:pStyle w:val="TOC1"/>
        <w:rPr>
          <w:rFonts w:asciiTheme="minorHAnsi" w:eastAsiaTheme="minorEastAsia" w:hAnsiTheme="minorHAnsi" w:cstheme="minorBidi"/>
          <w:b w:val="0"/>
          <w:noProof/>
          <w:sz w:val="22"/>
          <w:szCs w:val="22"/>
          <w:lang w:val="en-US"/>
        </w:rPr>
      </w:pPr>
      <w:r>
        <w:rPr>
          <w:noProof/>
        </w:rPr>
        <w:t>7.</w:t>
      </w:r>
      <w:r>
        <w:rPr>
          <w:rFonts w:asciiTheme="minorHAnsi" w:eastAsiaTheme="minorEastAsia" w:hAnsiTheme="minorHAnsi" w:cstheme="minorBidi"/>
          <w:b w:val="0"/>
          <w:noProof/>
          <w:sz w:val="22"/>
          <w:szCs w:val="22"/>
          <w:lang w:val="en-US"/>
        </w:rPr>
        <w:tab/>
      </w:r>
      <w:r>
        <w:rPr>
          <w:noProof/>
        </w:rPr>
        <w:t>Simulation Metrics</w:t>
      </w:r>
      <w:r>
        <w:rPr>
          <w:noProof/>
        </w:rPr>
        <w:tab/>
      </w:r>
      <w:r>
        <w:rPr>
          <w:noProof/>
        </w:rPr>
        <w:fldChar w:fldCharType="begin"/>
      </w:r>
      <w:r>
        <w:rPr>
          <w:noProof/>
        </w:rPr>
        <w:instrText xml:space="preserve"> PAGEREF _Toc338703716 \h </w:instrText>
      </w:r>
      <w:r>
        <w:rPr>
          <w:noProof/>
        </w:rPr>
      </w:r>
      <w:r>
        <w:rPr>
          <w:noProof/>
        </w:rPr>
        <w:fldChar w:fldCharType="separate"/>
      </w:r>
      <w:r>
        <w:rPr>
          <w:noProof/>
        </w:rPr>
        <w:t>88</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lastRenderedPageBreak/>
        <w:t>7.1</w:t>
      </w:r>
      <w:r>
        <w:rPr>
          <w:rFonts w:asciiTheme="minorHAnsi" w:eastAsiaTheme="minorEastAsia" w:hAnsiTheme="minorHAnsi" w:cstheme="minorBidi"/>
          <w:noProof/>
          <w:sz w:val="22"/>
          <w:szCs w:val="22"/>
          <w:lang w:val="en-US"/>
        </w:rPr>
        <w:tab/>
      </w:r>
      <w:r>
        <w:rPr>
          <w:noProof/>
        </w:rPr>
        <w:t>Simulation Length</w:t>
      </w:r>
      <w:r>
        <w:rPr>
          <w:noProof/>
        </w:rPr>
        <w:tab/>
      </w:r>
      <w:r>
        <w:rPr>
          <w:noProof/>
        </w:rPr>
        <w:fldChar w:fldCharType="begin"/>
      </w:r>
      <w:r>
        <w:rPr>
          <w:noProof/>
        </w:rPr>
        <w:instrText xml:space="preserve"> PAGEREF _Toc338703717 \h </w:instrText>
      </w:r>
      <w:r>
        <w:rPr>
          <w:noProof/>
        </w:rPr>
      </w:r>
      <w:r>
        <w:rPr>
          <w:noProof/>
        </w:rPr>
        <w:fldChar w:fldCharType="separate"/>
      </w:r>
      <w:r>
        <w:rPr>
          <w:noProof/>
        </w:rPr>
        <w:t>88</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7.2</w:t>
      </w:r>
      <w:r>
        <w:rPr>
          <w:rFonts w:asciiTheme="minorHAnsi" w:eastAsiaTheme="minorEastAsia" w:hAnsiTheme="minorHAnsi" w:cstheme="minorBidi"/>
          <w:noProof/>
          <w:sz w:val="22"/>
          <w:szCs w:val="22"/>
          <w:lang w:val="en-US"/>
        </w:rPr>
        <w:tab/>
      </w:r>
      <w:r>
        <w:rPr>
          <w:noProof/>
        </w:rPr>
        <w:t>Range of Natural Variability and Reference Points</w:t>
      </w:r>
      <w:r>
        <w:rPr>
          <w:noProof/>
        </w:rPr>
        <w:tab/>
      </w:r>
      <w:r>
        <w:rPr>
          <w:noProof/>
        </w:rPr>
        <w:fldChar w:fldCharType="begin"/>
      </w:r>
      <w:r>
        <w:rPr>
          <w:noProof/>
        </w:rPr>
        <w:instrText xml:space="preserve"> PAGEREF _Toc338703718 \h </w:instrText>
      </w:r>
      <w:r>
        <w:rPr>
          <w:noProof/>
        </w:rPr>
      </w:r>
      <w:r>
        <w:rPr>
          <w:noProof/>
        </w:rPr>
        <w:fldChar w:fldCharType="separate"/>
      </w:r>
      <w:r>
        <w:rPr>
          <w:noProof/>
        </w:rPr>
        <w:t>88</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7.3</w:t>
      </w:r>
      <w:r>
        <w:rPr>
          <w:rFonts w:asciiTheme="minorHAnsi" w:eastAsiaTheme="minorEastAsia" w:hAnsiTheme="minorHAnsi" w:cstheme="minorBidi"/>
          <w:noProof/>
          <w:sz w:val="22"/>
          <w:szCs w:val="22"/>
          <w:lang w:val="en-US"/>
        </w:rPr>
        <w:tab/>
      </w:r>
      <w:r>
        <w:rPr>
          <w:noProof/>
        </w:rPr>
        <w:t>Reconstructing the Backcast</w:t>
      </w:r>
      <w:r>
        <w:rPr>
          <w:noProof/>
        </w:rPr>
        <w:tab/>
      </w:r>
      <w:r>
        <w:rPr>
          <w:noProof/>
        </w:rPr>
        <w:fldChar w:fldCharType="begin"/>
      </w:r>
      <w:r>
        <w:rPr>
          <w:noProof/>
        </w:rPr>
        <w:instrText xml:space="preserve"> PAGEREF _Toc338703719 \h </w:instrText>
      </w:r>
      <w:r>
        <w:rPr>
          <w:noProof/>
        </w:rPr>
      </w:r>
      <w:r>
        <w:rPr>
          <w:noProof/>
        </w:rPr>
        <w:fldChar w:fldCharType="separate"/>
      </w:r>
      <w:r>
        <w:rPr>
          <w:noProof/>
        </w:rPr>
        <w:t>89</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7.3.1</w:t>
      </w:r>
      <w:r>
        <w:rPr>
          <w:rFonts w:asciiTheme="minorHAnsi" w:eastAsiaTheme="minorEastAsia" w:hAnsiTheme="minorHAnsi" w:cstheme="minorBidi"/>
          <w:noProof/>
          <w:sz w:val="22"/>
          <w:szCs w:val="22"/>
          <w:lang w:val="en-US"/>
        </w:rPr>
        <w:tab/>
      </w:r>
      <w:r>
        <w:rPr>
          <w:noProof/>
        </w:rPr>
        <w:t>Landscape Composition</w:t>
      </w:r>
      <w:r>
        <w:rPr>
          <w:noProof/>
        </w:rPr>
        <w:tab/>
      </w:r>
      <w:r>
        <w:rPr>
          <w:noProof/>
        </w:rPr>
        <w:fldChar w:fldCharType="begin"/>
      </w:r>
      <w:r>
        <w:rPr>
          <w:noProof/>
        </w:rPr>
        <w:instrText xml:space="preserve"> PAGEREF _Toc338703720 \h </w:instrText>
      </w:r>
      <w:r>
        <w:rPr>
          <w:noProof/>
        </w:rPr>
      </w:r>
      <w:r>
        <w:rPr>
          <w:noProof/>
        </w:rPr>
        <w:fldChar w:fldCharType="separate"/>
      </w:r>
      <w:r>
        <w:rPr>
          <w:noProof/>
        </w:rPr>
        <w:t>89</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7.3.2</w:t>
      </w:r>
      <w:r>
        <w:rPr>
          <w:rFonts w:asciiTheme="minorHAnsi" w:eastAsiaTheme="minorEastAsia" w:hAnsiTheme="minorHAnsi" w:cstheme="minorBidi"/>
          <w:noProof/>
          <w:sz w:val="22"/>
          <w:szCs w:val="22"/>
          <w:lang w:val="en-US"/>
        </w:rPr>
        <w:tab/>
      </w:r>
      <w:r>
        <w:rPr>
          <w:noProof/>
        </w:rPr>
        <w:t>Historical Land-use Trajectories</w:t>
      </w:r>
      <w:r>
        <w:rPr>
          <w:noProof/>
        </w:rPr>
        <w:tab/>
      </w:r>
      <w:r>
        <w:rPr>
          <w:noProof/>
        </w:rPr>
        <w:fldChar w:fldCharType="begin"/>
      </w:r>
      <w:r>
        <w:rPr>
          <w:noProof/>
        </w:rPr>
        <w:instrText xml:space="preserve"> PAGEREF _Toc338703721 \h </w:instrText>
      </w:r>
      <w:r>
        <w:rPr>
          <w:noProof/>
        </w:rPr>
      </w:r>
      <w:r>
        <w:rPr>
          <w:noProof/>
        </w:rPr>
        <w:fldChar w:fldCharType="separate"/>
      </w:r>
      <w:r>
        <w:rPr>
          <w:noProof/>
        </w:rPr>
        <w:t>91</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7.4</w:t>
      </w:r>
      <w:r>
        <w:rPr>
          <w:rFonts w:asciiTheme="minorHAnsi" w:eastAsiaTheme="minorEastAsia" w:hAnsiTheme="minorHAnsi" w:cstheme="minorBidi"/>
          <w:noProof/>
          <w:sz w:val="22"/>
          <w:szCs w:val="22"/>
          <w:lang w:val="en-US"/>
        </w:rPr>
        <w:tab/>
      </w:r>
      <w:r>
        <w:rPr>
          <w:noProof/>
        </w:rPr>
        <w:t>Describing the Current Landscape</w:t>
      </w:r>
      <w:r>
        <w:rPr>
          <w:noProof/>
        </w:rPr>
        <w:tab/>
      </w:r>
      <w:r>
        <w:rPr>
          <w:noProof/>
        </w:rPr>
        <w:fldChar w:fldCharType="begin"/>
      </w:r>
      <w:r>
        <w:rPr>
          <w:noProof/>
        </w:rPr>
        <w:instrText xml:space="preserve"> PAGEREF _Toc338703722 \h </w:instrText>
      </w:r>
      <w:r>
        <w:rPr>
          <w:noProof/>
        </w:rPr>
      </w:r>
      <w:r>
        <w:rPr>
          <w:noProof/>
        </w:rPr>
        <w:fldChar w:fldCharType="separate"/>
      </w:r>
      <w:r>
        <w:rPr>
          <w:noProof/>
        </w:rPr>
        <w:t>93</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7.5</w:t>
      </w:r>
      <w:r>
        <w:rPr>
          <w:rFonts w:asciiTheme="minorHAnsi" w:eastAsiaTheme="minorEastAsia" w:hAnsiTheme="minorHAnsi" w:cstheme="minorBidi"/>
          <w:noProof/>
          <w:sz w:val="22"/>
          <w:szCs w:val="22"/>
          <w:lang w:val="en-US"/>
        </w:rPr>
        <w:tab/>
      </w:r>
      <w:r>
        <w:rPr>
          <w:noProof/>
        </w:rPr>
        <w:t>Exploring the Future</w:t>
      </w:r>
      <w:r>
        <w:rPr>
          <w:noProof/>
        </w:rPr>
        <w:tab/>
      </w:r>
      <w:r>
        <w:rPr>
          <w:noProof/>
        </w:rPr>
        <w:fldChar w:fldCharType="begin"/>
      </w:r>
      <w:r>
        <w:rPr>
          <w:noProof/>
        </w:rPr>
        <w:instrText xml:space="preserve"> PAGEREF _Toc338703723 \h </w:instrText>
      </w:r>
      <w:r>
        <w:rPr>
          <w:noProof/>
        </w:rPr>
      </w:r>
      <w:r>
        <w:rPr>
          <w:noProof/>
        </w:rPr>
        <w:fldChar w:fldCharType="separate"/>
      </w:r>
      <w:r>
        <w:rPr>
          <w:noProof/>
        </w:rPr>
        <w:t>95</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7.5.1</w:t>
      </w:r>
      <w:r>
        <w:rPr>
          <w:rFonts w:asciiTheme="minorHAnsi" w:eastAsiaTheme="minorEastAsia" w:hAnsiTheme="minorHAnsi" w:cstheme="minorBidi"/>
          <w:noProof/>
          <w:sz w:val="22"/>
          <w:szCs w:val="22"/>
          <w:lang w:val="en-US"/>
        </w:rPr>
        <w:tab/>
      </w:r>
      <w:r>
        <w:rPr>
          <w:noProof/>
        </w:rPr>
        <w:t>Different Types of Future Scenarios</w:t>
      </w:r>
      <w:r>
        <w:rPr>
          <w:noProof/>
        </w:rPr>
        <w:tab/>
      </w:r>
      <w:r>
        <w:rPr>
          <w:noProof/>
        </w:rPr>
        <w:fldChar w:fldCharType="begin"/>
      </w:r>
      <w:r>
        <w:rPr>
          <w:noProof/>
        </w:rPr>
        <w:instrText xml:space="preserve"> PAGEREF _Toc338703724 \h </w:instrText>
      </w:r>
      <w:r>
        <w:rPr>
          <w:noProof/>
        </w:rPr>
      </w:r>
      <w:r>
        <w:rPr>
          <w:noProof/>
        </w:rPr>
        <w:fldChar w:fldCharType="separate"/>
      </w:r>
      <w:r>
        <w:rPr>
          <w:noProof/>
        </w:rPr>
        <w:t>95</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7.5.2</w:t>
      </w:r>
      <w:r>
        <w:rPr>
          <w:rFonts w:asciiTheme="minorHAnsi" w:eastAsiaTheme="minorEastAsia" w:hAnsiTheme="minorHAnsi" w:cstheme="minorBidi"/>
          <w:noProof/>
          <w:sz w:val="22"/>
          <w:szCs w:val="22"/>
          <w:lang w:val="en-US"/>
        </w:rPr>
        <w:tab/>
      </w:r>
      <w:r>
        <w:rPr>
          <w:noProof/>
        </w:rPr>
        <w:t>Spatial Constraints in Mapper Using Inclusionary Masks</w:t>
      </w:r>
      <w:r>
        <w:rPr>
          <w:noProof/>
        </w:rPr>
        <w:tab/>
      </w:r>
      <w:r>
        <w:rPr>
          <w:noProof/>
        </w:rPr>
        <w:fldChar w:fldCharType="begin"/>
      </w:r>
      <w:r>
        <w:rPr>
          <w:noProof/>
        </w:rPr>
        <w:instrText xml:space="preserve"> PAGEREF _Toc338703725 \h </w:instrText>
      </w:r>
      <w:r>
        <w:rPr>
          <w:noProof/>
        </w:rPr>
      </w:r>
      <w:r>
        <w:rPr>
          <w:noProof/>
        </w:rPr>
        <w:fldChar w:fldCharType="separate"/>
      </w:r>
      <w:r>
        <w:rPr>
          <w:noProof/>
        </w:rPr>
        <w:t>96</w:t>
      </w:r>
      <w:r>
        <w:rPr>
          <w:noProof/>
        </w:rPr>
        <w:fldChar w:fldCharType="end"/>
      </w:r>
    </w:p>
    <w:p w:rsidR="00794F48" w:rsidRDefault="00794F48">
      <w:pPr>
        <w:pStyle w:val="TOC1"/>
        <w:rPr>
          <w:rFonts w:asciiTheme="minorHAnsi" w:eastAsiaTheme="minorEastAsia" w:hAnsiTheme="minorHAnsi" w:cstheme="minorBidi"/>
          <w:b w:val="0"/>
          <w:noProof/>
          <w:sz w:val="22"/>
          <w:szCs w:val="22"/>
          <w:lang w:val="en-US"/>
        </w:rPr>
      </w:pPr>
      <w:r>
        <w:rPr>
          <w:noProof/>
        </w:rPr>
        <w:t>8.</w:t>
      </w:r>
      <w:r>
        <w:rPr>
          <w:rFonts w:asciiTheme="minorHAnsi" w:eastAsiaTheme="minorEastAsia" w:hAnsiTheme="minorHAnsi" w:cstheme="minorBidi"/>
          <w:b w:val="0"/>
          <w:noProof/>
          <w:sz w:val="22"/>
          <w:szCs w:val="22"/>
          <w:lang w:val="en-US"/>
        </w:rPr>
        <w:tab/>
      </w:r>
      <w:r>
        <w:rPr>
          <w:noProof/>
        </w:rPr>
        <w:t>Land-use Assumptions</w:t>
      </w:r>
      <w:r>
        <w:rPr>
          <w:noProof/>
        </w:rPr>
        <w:tab/>
      </w:r>
      <w:r>
        <w:rPr>
          <w:noProof/>
        </w:rPr>
        <w:fldChar w:fldCharType="begin"/>
      </w:r>
      <w:r>
        <w:rPr>
          <w:noProof/>
        </w:rPr>
        <w:instrText xml:space="preserve"> PAGEREF _Toc338703726 \h </w:instrText>
      </w:r>
      <w:r>
        <w:rPr>
          <w:noProof/>
        </w:rPr>
      </w:r>
      <w:r>
        <w:rPr>
          <w:noProof/>
        </w:rPr>
        <w:fldChar w:fldCharType="separate"/>
      </w:r>
      <w:r>
        <w:rPr>
          <w:noProof/>
        </w:rPr>
        <w:t>97</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8.1</w:t>
      </w:r>
      <w:r>
        <w:rPr>
          <w:rFonts w:asciiTheme="minorHAnsi" w:eastAsiaTheme="minorEastAsia" w:hAnsiTheme="minorHAnsi" w:cstheme="minorBidi"/>
          <w:noProof/>
          <w:sz w:val="22"/>
          <w:szCs w:val="22"/>
          <w:lang w:val="en-US"/>
        </w:rPr>
        <w:tab/>
      </w:r>
      <w:r>
        <w:rPr>
          <w:noProof/>
        </w:rPr>
        <w:t>General Input Assumptions about Future Growth or Recession of Land-use</w:t>
      </w:r>
      <w:r>
        <w:rPr>
          <w:noProof/>
        </w:rPr>
        <w:tab/>
      </w:r>
      <w:r>
        <w:rPr>
          <w:noProof/>
        </w:rPr>
        <w:fldChar w:fldCharType="begin"/>
      </w:r>
      <w:r>
        <w:rPr>
          <w:noProof/>
        </w:rPr>
        <w:instrText xml:space="preserve"> PAGEREF _Toc338703727 \h </w:instrText>
      </w:r>
      <w:r>
        <w:rPr>
          <w:noProof/>
        </w:rPr>
      </w:r>
      <w:r>
        <w:rPr>
          <w:noProof/>
        </w:rPr>
        <w:fldChar w:fldCharType="separate"/>
      </w:r>
      <w:r>
        <w:rPr>
          <w:noProof/>
        </w:rPr>
        <w:t>97</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8.2</w:t>
      </w:r>
      <w:r>
        <w:rPr>
          <w:rFonts w:asciiTheme="minorHAnsi" w:eastAsiaTheme="minorEastAsia" w:hAnsiTheme="minorHAnsi" w:cstheme="minorBidi"/>
          <w:noProof/>
          <w:sz w:val="22"/>
          <w:szCs w:val="22"/>
          <w:lang w:val="en-US"/>
        </w:rPr>
        <w:tab/>
      </w:r>
      <w:r>
        <w:rPr>
          <w:noProof/>
        </w:rPr>
        <w:t>Specific Input Assumptions about Future Land-use Scenario</w:t>
      </w:r>
      <w:r>
        <w:rPr>
          <w:noProof/>
        </w:rPr>
        <w:tab/>
      </w:r>
      <w:r>
        <w:rPr>
          <w:noProof/>
        </w:rPr>
        <w:fldChar w:fldCharType="begin"/>
      </w:r>
      <w:r>
        <w:rPr>
          <w:noProof/>
        </w:rPr>
        <w:instrText xml:space="preserve"> PAGEREF _Toc338703728 \h </w:instrText>
      </w:r>
      <w:r>
        <w:rPr>
          <w:noProof/>
        </w:rPr>
      </w:r>
      <w:r>
        <w:rPr>
          <w:noProof/>
        </w:rPr>
        <w:fldChar w:fldCharType="separate"/>
      </w:r>
      <w:r>
        <w:rPr>
          <w:noProof/>
        </w:rPr>
        <w:t>99</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8.2.1</w:t>
      </w:r>
      <w:r>
        <w:rPr>
          <w:rFonts w:asciiTheme="minorHAnsi" w:eastAsiaTheme="minorEastAsia" w:hAnsiTheme="minorHAnsi" w:cstheme="minorBidi"/>
          <w:noProof/>
          <w:sz w:val="22"/>
          <w:szCs w:val="22"/>
          <w:lang w:val="en-US"/>
        </w:rPr>
        <w:tab/>
      </w:r>
      <w:r>
        <w:rPr>
          <w:noProof/>
        </w:rPr>
        <w:t>First Nations and Their Settlements</w:t>
      </w:r>
      <w:r>
        <w:rPr>
          <w:noProof/>
        </w:rPr>
        <w:tab/>
      </w:r>
      <w:r>
        <w:rPr>
          <w:noProof/>
        </w:rPr>
        <w:fldChar w:fldCharType="begin"/>
      </w:r>
      <w:r>
        <w:rPr>
          <w:noProof/>
        </w:rPr>
        <w:instrText xml:space="preserve"> PAGEREF _Toc338703729 \h </w:instrText>
      </w:r>
      <w:r>
        <w:rPr>
          <w:noProof/>
        </w:rPr>
      </w:r>
      <w:r>
        <w:rPr>
          <w:noProof/>
        </w:rPr>
        <w:fldChar w:fldCharType="separate"/>
      </w:r>
      <w:r>
        <w:rPr>
          <w:noProof/>
        </w:rPr>
        <w:t>99</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lang w:eastAsia="en-CA"/>
        </w:rPr>
        <w:t>8.2.2</w:t>
      </w:r>
      <w:r>
        <w:rPr>
          <w:rFonts w:asciiTheme="minorHAnsi" w:eastAsiaTheme="minorEastAsia" w:hAnsiTheme="minorHAnsi" w:cstheme="minorBidi"/>
          <w:noProof/>
          <w:sz w:val="22"/>
          <w:szCs w:val="22"/>
          <w:lang w:val="en-US"/>
        </w:rPr>
        <w:tab/>
      </w:r>
      <w:r>
        <w:rPr>
          <w:noProof/>
          <w:lang w:eastAsia="en-CA"/>
        </w:rPr>
        <w:t>Non-Aboriginal Populations and Their Settlements</w:t>
      </w:r>
      <w:r>
        <w:rPr>
          <w:noProof/>
        </w:rPr>
        <w:tab/>
      </w:r>
      <w:r>
        <w:rPr>
          <w:noProof/>
        </w:rPr>
        <w:fldChar w:fldCharType="begin"/>
      </w:r>
      <w:r>
        <w:rPr>
          <w:noProof/>
        </w:rPr>
        <w:instrText xml:space="preserve"> PAGEREF _Toc338703730 \h </w:instrText>
      </w:r>
      <w:r>
        <w:rPr>
          <w:noProof/>
        </w:rPr>
      </w:r>
      <w:r>
        <w:rPr>
          <w:noProof/>
        </w:rPr>
        <w:fldChar w:fldCharType="separate"/>
      </w:r>
      <w:r>
        <w:rPr>
          <w:noProof/>
        </w:rPr>
        <w:t>99</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8.2.3</w:t>
      </w:r>
      <w:r>
        <w:rPr>
          <w:rFonts w:asciiTheme="minorHAnsi" w:eastAsiaTheme="minorEastAsia" w:hAnsiTheme="minorHAnsi" w:cstheme="minorBidi"/>
          <w:noProof/>
          <w:sz w:val="22"/>
          <w:szCs w:val="22"/>
          <w:lang w:val="en-US"/>
        </w:rPr>
        <w:tab/>
      </w:r>
      <w:r>
        <w:rPr>
          <w:noProof/>
        </w:rPr>
        <w:t>Agriculture</w:t>
      </w:r>
      <w:r>
        <w:rPr>
          <w:noProof/>
        </w:rPr>
        <w:tab/>
      </w:r>
      <w:r>
        <w:rPr>
          <w:noProof/>
        </w:rPr>
        <w:fldChar w:fldCharType="begin"/>
      </w:r>
      <w:r>
        <w:rPr>
          <w:noProof/>
        </w:rPr>
        <w:instrText xml:space="preserve"> PAGEREF _Toc338703731 \h </w:instrText>
      </w:r>
      <w:r>
        <w:rPr>
          <w:noProof/>
        </w:rPr>
      </w:r>
      <w:r>
        <w:rPr>
          <w:noProof/>
        </w:rPr>
        <w:fldChar w:fldCharType="separate"/>
      </w:r>
      <w:r>
        <w:rPr>
          <w:noProof/>
        </w:rPr>
        <w:t>99</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8.2.4</w:t>
      </w:r>
      <w:r>
        <w:rPr>
          <w:rFonts w:asciiTheme="minorHAnsi" w:eastAsiaTheme="minorEastAsia" w:hAnsiTheme="minorHAnsi" w:cstheme="minorBidi"/>
          <w:noProof/>
          <w:sz w:val="22"/>
          <w:szCs w:val="22"/>
          <w:lang w:val="en-US"/>
        </w:rPr>
        <w:tab/>
      </w:r>
      <w:r>
        <w:rPr>
          <w:noProof/>
        </w:rPr>
        <w:t>Forestry</w:t>
      </w:r>
      <w:r>
        <w:rPr>
          <w:noProof/>
        </w:rPr>
        <w:tab/>
      </w:r>
      <w:r>
        <w:rPr>
          <w:noProof/>
        </w:rPr>
        <w:fldChar w:fldCharType="begin"/>
      </w:r>
      <w:r>
        <w:rPr>
          <w:noProof/>
        </w:rPr>
        <w:instrText xml:space="preserve"> PAGEREF _Toc338703732 \h </w:instrText>
      </w:r>
      <w:r>
        <w:rPr>
          <w:noProof/>
        </w:rPr>
      </w:r>
      <w:r>
        <w:rPr>
          <w:noProof/>
        </w:rPr>
        <w:fldChar w:fldCharType="separate"/>
      </w:r>
      <w:r>
        <w:rPr>
          <w:noProof/>
        </w:rPr>
        <w:t>100</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8.2.5</w:t>
      </w:r>
      <w:r>
        <w:rPr>
          <w:rFonts w:asciiTheme="minorHAnsi" w:eastAsiaTheme="minorEastAsia" w:hAnsiTheme="minorHAnsi" w:cstheme="minorBidi"/>
          <w:noProof/>
          <w:sz w:val="22"/>
          <w:szCs w:val="22"/>
          <w:lang w:val="en-US"/>
        </w:rPr>
        <w:tab/>
      </w:r>
      <w:r>
        <w:rPr>
          <w:noProof/>
        </w:rPr>
        <w:t>Hydrocarbons (Bitumen and Heavy Oil)</w:t>
      </w:r>
      <w:r>
        <w:rPr>
          <w:noProof/>
        </w:rPr>
        <w:tab/>
      </w:r>
      <w:r>
        <w:rPr>
          <w:noProof/>
        </w:rPr>
        <w:fldChar w:fldCharType="begin"/>
      </w:r>
      <w:r>
        <w:rPr>
          <w:noProof/>
        </w:rPr>
        <w:instrText xml:space="preserve"> PAGEREF _Toc338703733 \h </w:instrText>
      </w:r>
      <w:r>
        <w:rPr>
          <w:noProof/>
        </w:rPr>
      </w:r>
      <w:r>
        <w:rPr>
          <w:noProof/>
        </w:rPr>
        <w:fldChar w:fldCharType="separate"/>
      </w:r>
      <w:r>
        <w:rPr>
          <w:noProof/>
        </w:rPr>
        <w:t>100</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8.2.6</w:t>
      </w:r>
      <w:r>
        <w:rPr>
          <w:rFonts w:asciiTheme="minorHAnsi" w:eastAsiaTheme="minorEastAsia" w:hAnsiTheme="minorHAnsi" w:cstheme="minorBidi"/>
          <w:noProof/>
          <w:sz w:val="22"/>
          <w:szCs w:val="22"/>
          <w:lang w:val="en-US"/>
        </w:rPr>
        <w:tab/>
      </w:r>
      <w:r>
        <w:rPr>
          <w:noProof/>
        </w:rPr>
        <w:t>Military</w:t>
      </w:r>
      <w:r>
        <w:rPr>
          <w:noProof/>
        </w:rPr>
        <w:tab/>
      </w:r>
      <w:r>
        <w:rPr>
          <w:noProof/>
        </w:rPr>
        <w:fldChar w:fldCharType="begin"/>
      </w:r>
      <w:r>
        <w:rPr>
          <w:noProof/>
        </w:rPr>
        <w:instrText xml:space="preserve"> PAGEREF _Toc338703734 \h </w:instrText>
      </w:r>
      <w:r>
        <w:rPr>
          <w:noProof/>
        </w:rPr>
      </w:r>
      <w:r>
        <w:rPr>
          <w:noProof/>
        </w:rPr>
        <w:fldChar w:fldCharType="separate"/>
      </w:r>
      <w:r>
        <w:rPr>
          <w:noProof/>
        </w:rPr>
        <w:t>108</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8.2.7</w:t>
      </w:r>
      <w:r>
        <w:rPr>
          <w:rFonts w:asciiTheme="minorHAnsi" w:eastAsiaTheme="minorEastAsia" w:hAnsiTheme="minorHAnsi" w:cstheme="minorBidi"/>
          <w:noProof/>
          <w:sz w:val="22"/>
          <w:szCs w:val="22"/>
          <w:lang w:val="en-US"/>
        </w:rPr>
        <w:tab/>
      </w:r>
      <w:r>
        <w:rPr>
          <w:noProof/>
        </w:rPr>
        <w:t>Transportation</w:t>
      </w:r>
      <w:r>
        <w:rPr>
          <w:noProof/>
        </w:rPr>
        <w:tab/>
      </w:r>
      <w:r>
        <w:rPr>
          <w:noProof/>
        </w:rPr>
        <w:fldChar w:fldCharType="begin"/>
      </w:r>
      <w:r>
        <w:rPr>
          <w:noProof/>
        </w:rPr>
        <w:instrText xml:space="preserve"> PAGEREF _Toc338703735 \h </w:instrText>
      </w:r>
      <w:r>
        <w:rPr>
          <w:noProof/>
        </w:rPr>
      </w:r>
      <w:r>
        <w:rPr>
          <w:noProof/>
        </w:rPr>
        <w:fldChar w:fldCharType="separate"/>
      </w:r>
      <w:r>
        <w:rPr>
          <w:noProof/>
        </w:rPr>
        <w:t>108</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8.2.8</w:t>
      </w:r>
      <w:r>
        <w:rPr>
          <w:rFonts w:asciiTheme="minorHAnsi" w:eastAsiaTheme="minorEastAsia" w:hAnsiTheme="minorHAnsi" w:cstheme="minorBidi"/>
          <w:noProof/>
          <w:sz w:val="22"/>
          <w:szCs w:val="22"/>
          <w:lang w:val="en-US"/>
        </w:rPr>
        <w:tab/>
      </w:r>
      <w:r>
        <w:rPr>
          <w:noProof/>
        </w:rPr>
        <w:t>Protected Areas</w:t>
      </w:r>
      <w:r>
        <w:rPr>
          <w:noProof/>
        </w:rPr>
        <w:tab/>
      </w:r>
      <w:r>
        <w:rPr>
          <w:noProof/>
        </w:rPr>
        <w:fldChar w:fldCharType="begin"/>
      </w:r>
      <w:r>
        <w:rPr>
          <w:noProof/>
        </w:rPr>
        <w:instrText xml:space="preserve"> PAGEREF _Toc338703736 \h </w:instrText>
      </w:r>
      <w:r>
        <w:rPr>
          <w:noProof/>
        </w:rPr>
      </w:r>
      <w:r>
        <w:rPr>
          <w:noProof/>
        </w:rPr>
        <w:fldChar w:fldCharType="separate"/>
      </w:r>
      <w:r>
        <w:rPr>
          <w:noProof/>
        </w:rPr>
        <w:t>109</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8.2.9</w:t>
      </w:r>
      <w:r>
        <w:rPr>
          <w:rFonts w:asciiTheme="minorHAnsi" w:eastAsiaTheme="minorEastAsia" w:hAnsiTheme="minorHAnsi" w:cstheme="minorBidi"/>
          <w:noProof/>
          <w:sz w:val="22"/>
          <w:szCs w:val="22"/>
          <w:lang w:val="en-US"/>
        </w:rPr>
        <w:tab/>
      </w:r>
      <w:r>
        <w:rPr>
          <w:noProof/>
        </w:rPr>
        <w:t>Key Reclamation Input Assumptions</w:t>
      </w:r>
      <w:r>
        <w:rPr>
          <w:noProof/>
        </w:rPr>
        <w:tab/>
      </w:r>
      <w:r>
        <w:rPr>
          <w:noProof/>
        </w:rPr>
        <w:fldChar w:fldCharType="begin"/>
      </w:r>
      <w:r>
        <w:rPr>
          <w:noProof/>
        </w:rPr>
        <w:instrText xml:space="preserve"> PAGEREF _Toc338703737 \h </w:instrText>
      </w:r>
      <w:r>
        <w:rPr>
          <w:noProof/>
        </w:rPr>
      </w:r>
      <w:r>
        <w:rPr>
          <w:noProof/>
        </w:rPr>
        <w:fldChar w:fldCharType="separate"/>
      </w:r>
      <w:r>
        <w:rPr>
          <w:noProof/>
        </w:rPr>
        <w:t>109</w:t>
      </w:r>
      <w:r>
        <w:rPr>
          <w:noProof/>
        </w:rPr>
        <w:fldChar w:fldCharType="end"/>
      </w:r>
    </w:p>
    <w:p w:rsidR="00794F48" w:rsidRDefault="00794F48">
      <w:pPr>
        <w:pStyle w:val="TOC1"/>
        <w:rPr>
          <w:rFonts w:asciiTheme="minorHAnsi" w:eastAsiaTheme="minorEastAsia" w:hAnsiTheme="minorHAnsi" w:cstheme="minorBidi"/>
          <w:b w:val="0"/>
          <w:noProof/>
          <w:sz w:val="22"/>
          <w:szCs w:val="22"/>
          <w:lang w:val="en-US"/>
        </w:rPr>
      </w:pPr>
      <w:r>
        <w:rPr>
          <w:noProof/>
        </w:rPr>
        <w:t>9.</w:t>
      </w:r>
      <w:r>
        <w:rPr>
          <w:rFonts w:asciiTheme="minorHAnsi" w:eastAsiaTheme="minorEastAsia" w:hAnsiTheme="minorHAnsi" w:cstheme="minorBidi"/>
          <w:b w:val="0"/>
          <w:noProof/>
          <w:sz w:val="22"/>
          <w:szCs w:val="22"/>
          <w:lang w:val="en-US"/>
        </w:rPr>
        <w:tab/>
      </w:r>
      <w:r>
        <w:rPr>
          <w:noProof/>
        </w:rPr>
        <w:t>Results</w:t>
      </w:r>
      <w:r>
        <w:rPr>
          <w:noProof/>
        </w:rPr>
        <w:tab/>
      </w:r>
      <w:r>
        <w:rPr>
          <w:noProof/>
        </w:rPr>
        <w:fldChar w:fldCharType="begin"/>
      </w:r>
      <w:r>
        <w:rPr>
          <w:noProof/>
        </w:rPr>
        <w:instrText xml:space="preserve"> PAGEREF _Toc338703738 \h </w:instrText>
      </w:r>
      <w:r>
        <w:rPr>
          <w:noProof/>
        </w:rPr>
      </w:r>
      <w:r>
        <w:rPr>
          <w:noProof/>
        </w:rPr>
        <w:fldChar w:fldCharType="separate"/>
      </w:r>
      <w:r>
        <w:rPr>
          <w:noProof/>
        </w:rPr>
        <w:t>111</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9.1</w:t>
      </w:r>
      <w:r>
        <w:rPr>
          <w:rFonts w:asciiTheme="minorHAnsi" w:eastAsiaTheme="minorEastAsia" w:hAnsiTheme="minorHAnsi" w:cstheme="minorBidi"/>
          <w:noProof/>
          <w:sz w:val="22"/>
          <w:szCs w:val="22"/>
          <w:lang w:val="en-US"/>
        </w:rPr>
        <w:tab/>
      </w:r>
      <w:r>
        <w:rPr>
          <w:noProof/>
        </w:rPr>
        <w:t>General</w:t>
      </w:r>
      <w:r>
        <w:rPr>
          <w:noProof/>
        </w:rPr>
        <w:tab/>
      </w:r>
      <w:r>
        <w:rPr>
          <w:noProof/>
        </w:rPr>
        <w:fldChar w:fldCharType="begin"/>
      </w:r>
      <w:r>
        <w:rPr>
          <w:noProof/>
        </w:rPr>
        <w:instrText xml:space="preserve"> PAGEREF _Toc338703739 \h </w:instrText>
      </w:r>
      <w:r>
        <w:rPr>
          <w:noProof/>
        </w:rPr>
      </w:r>
      <w:r>
        <w:rPr>
          <w:noProof/>
        </w:rPr>
        <w:fldChar w:fldCharType="separate"/>
      </w:r>
      <w:r>
        <w:rPr>
          <w:noProof/>
        </w:rPr>
        <w:t>111</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9.2</w:t>
      </w:r>
      <w:r>
        <w:rPr>
          <w:rFonts w:asciiTheme="minorHAnsi" w:eastAsiaTheme="minorEastAsia" w:hAnsiTheme="minorHAnsi" w:cstheme="minorBidi"/>
          <w:noProof/>
          <w:sz w:val="22"/>
          <w:szCs w:val="22"/>
          <w:lang w:val="en-US"/>
        </w:rPr>
        <w:tab/>
      </w:r>
      <w:r>
        <w:rPr>
          <w:noProof/>
        </w:rPr>
        <w:t>Bitumen Production and Economic</w:t>
      </w:r>
      <w:r>
        <w:rPr>
          <w:noProof/>
        </w:rPr>
        <w:tab/>
      </w:r>
      <w:r>
        <w:rPr>
          <w:noProof/>
        </w:rPr>
        <w:fldChar w:fldCharType="begin"/>
      </w:r>
      <w:r>
        <w:rPr>
          <w:noProof/>
        </w:rPr>
        <w:instrText xml:space="preserve"> PAGEREF _Toc338703740 \h </w:instrText>
      </w:r>
      <w:r>
        <w:rPr>
          <w:noProof/>
        </w:rPr>
      </w:r>
      <w:r>
        <w:rPr>
          <w:noProof/>
        </w:rPr>
        <w:fldChar w:fldCharType="separate"/>
      </w:r>
      <w:r>
        <w:rPr>
          <w:noProof/>
        </w:rPr>
        <w:t>111</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9.2.1</w:t>
      </w:r>
      <w:r>
        <w:rPr>
          <w:rFonts w:asciiTheme="minorHAnsi" w:eastAsiaTheme="minorEastAsia" w:hAnsiTheme="minorHAnsi" w:cstheme="minorBidi"/>
          <w:noProof/>
          <w:sz w:val="22"/>
          <w:szCs w:val="22"/>
          <w:lang w:val="en-US"/>
        </w:rPr>
        <w:tab/>
      </w:r>
      <w:r>
        <w:rPr>
          <w:noProof/>
        </w:rPr>
        <w:t>Bitumen and Heavy Oil Production Trajectories</w:t>
      </w:r>
      <w:r>
        <w:rPr>
          <w:noProof/>
        </w:rPr>
        <w:tab/>
      </w:r>
      <w:r>
        <w:rPr>
          <w:noProof/>
        </w:rPr>
        <w:fldChar w:fldCharType="begin"/>
      </w:r>
      <w:r>
        <w:rPr>
          <w:noProof/>
        </w:rPr>
        <w:instrText xml:space="preserve"> PAGEREF _Toc338703741 \h </w:instrText>
      </w:r>
      <w:r>
        <w:rPr>
          <w:noProof/>
        </w:rPr>
      </w:r>
      <w:r>
        <w:rPr>
          <w:noProof/>
        </w:rPr>
        <w:fldChar w:fldCharType="separate"/>
      </w:r>
      <w:r>
        <w:rPr>
          <w:noProof/>
        </w:rPr>
        <w:t>111</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9.2.2</w:t>
      </w:r>
      <w:r>
        <w:rPr>
          <w:rFonts w:asciiTheme="minorHAnsi" w:eastAsiaTheme="minorEastAsia" w:hAnsiTheme="minorHAnsi" w:cstheme="minorBidi"/>
          <w:noProof/>
          <w:sz w:val="22"/>
          <w:szCs w:val="22"/>
          <w:lang w:val="en-US"/>
        </w:rPr>
        <w:tab/>
      </w:r>
      <w:r>
        <w:rPr>
          <w:noProof/>
        </w:rPr>
        <w:t>Bitumen and Heavy Oil Revenues</w:t>
      </w:r>
      <w:r>
        <w:rPr>
          <w:noProof/>
        </w:rPr>
        <w:tab/>
      </w:r>
      <w:r>
        <w:rPr>
          <w:noProof/>
        </w:rPr>
        <w:fldChar w:fldCharType="begin"/>
      </w:r>
      <w:r>
        <w:rPr>
          <w:noProof/>
        </w:rPr>
        <w:instrText xml:space="preserve"> PAGEREF _Toc338703742 \h </w:instrText>
      </w:r>
      <w:r>
        <w:rPr>
          <w:noProof/>
        </w:rPr>
      </w:r>
      <w:r>
        <w:rPr>
          <w:noProof/>
        </w:rPr>
        <w:fldChar w:fldCharType="separate"/>
      </w:r>
      <w:r>
        <w:rPr>
          <w:noProof/>
        </w:rPr>
        <w:t>115</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9.2.3</w:t>
      </w:r>
      <w:r>
        <w:rPr>
          <w:rFonts w:asciiTheme="minorHAnsi" w:eastAsiaTheme="minorEastAsia" w:hAnsiTheme="minorHAnsi" w:cstheme="minorBidi"/>
          <w:noProof/>
          <w:sz w:val="22"/>
          <w:szCs w:val="22"/>
          <w:lang w:val="en-US"/>
        </w:rPr>
        <w:tab/>
      </w:r>
      <w:r>
        <w:rPr>
          <w:noProof/>
        </w:rPr>
        <w:t>Employment</w:t>
      </w:r>
      <w:r>
        <w:rPr>
          <w:noProof/>
        </w:rPr>
        <w:tab/>
      </w:r>
      <w:r>
        <w:rPr>
          <w:noProof/>
        </w:rPr>
        <w:fldChar w:fldCharType="begin"/>
      </w:r>
      <w:r>
        <w:rPr>
          <w:noProof/>
        </w:rPr>
        <w:instrText xml:space="preserve"> PAGEREF _Toc338703743 \h </w:instrText>
      </w:r>
      <w:r>
        <w:rPr>
          <w:noProof/>
        </w:rPr>
      </w:r>
      <w:r>
        <w:rPr>
          <w:noProof/>
        </w:rPr>
        <w:fldChar w:fldCharType="separate"/>
      </w:r>
      <w:r>
        <w:rPr>
          <w:noProof/>
        </w:rPr>
        <w:t>118</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9.3</w:t>
      </w:r>
      <w:r>
        <w:rPr>
          <w:rFonts w:asciiTheme="minorHAnsi" w:eastAsiaTheme="minorEastAsia" w:hAnsiTheme="minorHAnsi" w:cstheme="minorBidi"/>
          <w:noProof/>
          <w:sz w:val="22"/>
          <w:szCs w:val="22"/>
          <w:lang w:val="en-US"/>
        </w:rPr>
        <w:tab/>
      </w:r>
      <w:r>
        <w:rPr>
          <w:noProof/>
        </w:rPr>
        <w:t>Landscape Metrics and Ecological Indicators</w:t>
      </w:r>
      <w:r>
        <w:rPr>
          <w:noProof/>
        </w:rPr>
        <w:tab/>
      </w:r>
      <w:r>
        <w:rPr>
          <w:noProof/>
        </w:rPr>
        <w:fldChar w:fldCharType="begin"/>
      </w:r>
      <w:r>
        <w:rPr>
          <w:noProof/>
        </w:rPr>
        <w:instrText xml:space="preserve"> PAGEREF _Toc338703744 \h </w:instrText>
      </w:r>
      <w:r>
        <w:rPr>
          <w:noProof/>
        </w:rPr>
      </w:r>
      <w:r>
        <w:rPr>
          <w:noProof/>
        </w:rPr>
        <w:fldChar w:fldCharType="separate"/>
      </w:r>
      <w:r>
        <w:rPr>
          <w:noProof/>
        </w:rPr>
        <w:t>120</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9.3.1</w:t>
      </w:r>
      <w:r>
        <w:rPr>
          <w:rFonts w:asciiTheme="minorHAnsi" w:eastAsiaTheme="minorEastAsia" w:hAnsiTheme="minorHAnsi" w:cstheme="minorBidi"/>
          <w:noProof/>
          <w:sz w:val="22"/>
          <w:szCs w:val="22"/>
          <w:lang w:val="en-US"/>
        </w:rPr>
        <w:tab/>
      </w:r>
      <w:r>
        <w:rPr>
          <w:noProof/>
        </w:rPr>
        <w:t>Landscape Composition</w:t>
      </w:r>
      <w:r>
        <w:rPr>
          <w:noProof/>
        </w:rPr>
        <w:tab/>
      </w:r>
      <w:r>
        <w:rPr>
          <w:noProof/>
        </w:rPr>
        <w:fldChar w:fldCharType="begin"/>
      </w:r>
      <w:r>
        <w:rPr>
          <w:noProof/>
        </w:rPr>
        <w:instrText xml:space="preserve"> PAGEREF _Toc338703745 \h </w:instrText>
      </w:r>
      <w:r>
        <w:rPr>
          <w:noProof/>
        </w:rPr>
      </w:r>
      <w:r>
        <w:rPr>
          <w:noProof/>
        </w:rPr>
        <w:fldChar w:fldCharType="separate"/>
      </w:r>
      <w:r>
        <w:rPr>
          <w:noProof/>
        </w:rPr>
        <w:t>120</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lang w:eastAsia="en-CA"/>
        </w:rPr>
        <w:t>9.3.2</w:t>
      </w:r>
      <w:r>
        <w:rPr>
          <w:rFonts w:asciiTheme="minorHAnsi" w:eastAsiaTheme="minorEastAsia" w:hAnsiTheme="minorHAnsi" w:cstheme="minorBidi"/>
          <w:noProof/>
          <w:sz w:val="22"/>
          <w:szCs w:val="22"/>
          <w:lang w:val="en-US"/>
        </w:rPr>
        <w:tab/>
      </w:r>
      <w:r>
        <w:rPr>
          <w:noProof/>
          <w:lang w:eastAsia="en-CA"/>
        </w:rPr>
        <w:t>Water Quality</w:t>
      </w:r>
      <w:r>
        <w:rPr>
          <w:noProof/>
        </w:rPr>
        <w:tab/>
      </w:r>
      <w:r>
        <w:rPr>
          <w:noProof/>
        </w:rPr>
        <w:fldChar w:fldCharType="begin"/>
      </w:r>
      <w:r>
        <w:rPr>
          <w:noProof/>
        </w:rPr>
        <w:instrText xml:space="preserve"> PAGEREF _Toc338703746 \h </w:instrText>
      </w:r>
      <w:r>
        <w:rPr>
          <w:noProof/>
        </w:rPr>
      </w:r>
      <w:r>
        <w:rPr>
          <w:noProof/>
        </w:rPr>
        <w:fldChar w:fldCharType="separate"/>
      </w:r>
      <w:r>
        <w:rPr>
          <w:noProof/>
        </w:rPr>
        <w:t>130</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9.3.3</w:t>
      </w:r>
      <w:r>
        <w:rPr>
          <w:rFonts w:asciiTheme="minorHAnsi" w:eastAsiaTheme="minorEastAsia" w:hAnsiTheme="minorHAnsi" w:cstheme="minorBidi"/>
          <w:noProof/>
          <w:sz w:val="22"/>
          <w:szCs w:val="22"/>
          <w:lang w:val="en-US"/>
        </w:rPr>
        <w:tab/>
      </w:r>
      <w:r>
        <w:rPr>
          <w:noProof/>
        </w:rPr>
        <w:t>Forest Demography</w:t>
      </w:r>
      <w:r>
        <w:rPr>
          <w:noProof/>
        </w:rPr>
        <w:tab/>
      </w:r>
      <w:r>
        <w:rPr>
          <w:noProof/>
        </w:rPr>
        <w:fldChar w:fldCharType="begin"/>
      </w:r>
      <w:r>
        <w:rPr>
          <w:noProof/>
        </w:rPr>
        <w:instrText xml:space="preserve"> PAGEREF _Toc338703747 \h </w:instrText>
      </w:r>
      <w:r>
        <w:rPr>
          <w:noProof/>
        </w:rPr>
      </w:r>
      <w:r>
        <w:rPr>
          <w:noProof/>
        </w:rPr>
        <w:fldChar w:fldCharType="separate"/>
      </w:r>
      <w:r>
        <w:rPr>
          <w:noProof/>
        </w:rPr>
        <w:t>133</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9.3.4</w:t>
      </w:r>
      <w:r>
        <w:rPr>
          <w:rFonts w:asciiTheme="minorHAnsi" w:eastAsiaTheme="minorEastAsia" w:hAnsiTheme="minorHAnsi" w:cstheme="minorBidi"/>
          <w:noProof/>
          <w:sz w:val="22"/>
          <w:szCs w:val="22"/>
          <w:lang w:val="en-US"/>
        </w:rPr>
        <w:tab/>
      </w:r>
      <w:r>
        <w:rPr>
          <w:noProof/>
        </w:rPr>
        <w:t>Moose Habitat Effectiveness</w:t>
      </w:r>
      <w:r>
        <w:rPr>
          <w:noProof/>
        </w:rPr>
        <w:tab/>
      </w:r>
      <w:r>
        <w:rPr>
          <w:noProof/>
        </w:rPr>
        <w:fldChar w:fldCharType="begin"/>
      </w:r>
      <w:r>
        <w:rPr>
          <w:noProof/>
        </w:rPr>
        <w:instrText xml:space="preserve"> PAGEREF _Toc338703748 \h </w:instrText>
      </w:r>
      <w:r>
        <w:rPr>
          <w:noProof/>
        </w:rPr>
      </w:r>
      <w:r>
        <w:rPr>
          <w:noProof/>
        </w:rPr>
        <w:fldChar w:fldCharType="separate"/>
      </w:r>
      <w:r>
        <w:rPr>
          <w:noProof/>
        </w:rPr>
        <w:t>135</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9.3.5</w:t>
      </w:r>
      <w:r>
        <w:rPr>
          <w:rFonts w:asciiTheme="minorHAnsi" w:eastAsiaTheme="minorEastAsia" w:hAnsiTheme="minorHAnsi" w:cstheme="minorBidi"/>
          <w:noProof/>
          <w:sz w:val="22"/>
          <w:szCs w:val="22"/>
          <w:lang w:val="en-US"/>
        </w:rPr>
        <w:tab/>
      </w:r>
      <w:r>
        <w:rPr>
          <w:noProof/>
        </w:rPr>
        <w:t>Moose Populations and Harvest</w:t>
      </w:r>
      <w:r>
        <w:rPr>
          <w:noProof/>
        </w:rPr>
        <w:tab/>
      </w:r>
      <w:r>
        <w:rPr>
          <w:noProof/>
        </w:rPr>
        <w:fldChar w:fldCharType="begin"/>
      </w:r>
      <w:r>
        <w:rPr>
          <w:noProof/>
        </w:rPr>
        <w:instrText xml:space="preserve"> PAGEREF _Toc338703749 \h </w:instrText>
      </w:r>
      <w:r>
        <w:rPr>
          <w:noProof/>
        </w:rPr>
      </w:r>
      <w:r>
        <w:rPr>
          <w:noProof/>
        </w:rPr>
        <w:fldChar w:fldCharType="separate"/>
      </w:r>
      <w:r>
        <w:rPr>
          <w:noProof/>
        </w:rPr>
        <w:t>137</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9.3.6</w:t>
      </w:r>
      <w:r>
        <w:rPr>
          <w:rFonts w:asciiTheme="minorHAnsi" w:eastAsiaTheme="minorEastAsia" w:hAnsiTheme="minorHAnsi" w:cstheme="minorBidi"/>
          <w:noProof/>
          <w:sz w:val="22"/>
          <w:szCs w:val="22"/>
          <w:lang w:val="en-US"/>
        </w:rPr>
        <w:tab/>
      </w:r>
      <w:r>
        <w:rPr>
          <w:noProof/>
        </w:rPr>
        <w:t>Fisher Habitat Effectiveness</w:t>
      </w:r>
      <w:r>
        <w:rPr>
          <w:noProof/>
        </w:rPr>
        <w:tab/>
      </w:r>
      <w:r>
        <w:rPr>
          <w:noProof/>
        </w:rPr>
        <w:fldChar w:fldCharType="begin"/>
      </w:r>
      <w:r>
        <w:rPr>
          <w:noProof/>
        </w:rPr>
        <w:instrText xml:space="preserve"> PAGEREF _Toc338703750 \h </w:instrText>
      </w:r>
      <w:r>
        <w:rPr>
          <w:noProof/>
        </w:rPr>
      </w:r>
      <w:r>
        <w:rPr>
          <w:noProof/>
        </w:rPr>
        <w:fldChar w:fldCharType="separate"/>
      </w:r>
      <w:r>
        <w:rPr>
          <w:noProof/>
        </w:rPr>
        <w:t>139</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9.3.7</w:t>
      </w:r>
      <w:r>
        <w:rPr>
          <w:rFonts w:asciiTheme="minorHAnsi" w:eastAsiaTheme="minorEastAsia" w:hAnsiTheme="minorHAnsi" w:cstheme="minorBidi"/>
          <w:noProof/>
          <w:sz w:val="22"/>
          <w:szCs w:val="22"/>
          <w:lang w:val="en-US"/>
        </w:rPr>
        <w:tab/>
      </w:r>
      <w:r>
        <w:rPr>
          <w:noProof/>
        </w:rPr>
        <w:t>Index of Native Fish Integrity (INFI)</w:t>
      </w:r>
      <w:r>
        <w:rPr>
          <w:noProof/>
        </w:rPr>
        <w:tab/>
      </w:r>
      <w:r>
        <w:rPr>
          <w:noProof/>
        </w:rPr>
        <w:fldChar w:fldCharType="begin"/>
      </w:r>
      <w:r>
        <w:rPr>
          <w:noProof/>
        </w:rPr>
        <w:instrText xml:space="preserve"> PAGEREF _Toc338703751 \h </w:instrText>
      </w:r>
      <w:r>
        <w:rPr>
          <w:noProof/>
        </w:rPr>
      </w:r>
      <w:r>
        <w:rPr>
          <w:noProof/>
        </w:rPr>
        <w:fldChar w:fldCharType="separate"/>
      </w:r>
      <w:r>
        <w:rPr>
          <w:noProof/>
        </w:rPr>
        <w:t>140</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9.3.8</w:t>
      </w:r>
      <w:r>
        <w:rPr>
          <w:rFonts w:asciiTheme="minorHAnsi" w:eastAsiaTheme="minorEastAsia" w:hAnsiTheme="minorHAnsi" w:cstheme="minorBidi"/>
          <w:noProof/>
          <w:sz w:val="22"/>
          <w:szCs w:val="22"/>
          <w:lang w:val="en-US"/>
        </w:rPr>
        <w:tab/>
      </w:r>
      <w:r>
        <w:rPr>
          <w:noProof/>
        </w:rPr>
        <w:t>Sulphur Emissions</w:t>
      </w:r>
      <w:r>
        <w:rPr>
          <w:noProof/>
        </w:rPr>
        <w:tab/>
      </w:r>
      <w:r>
        <w:rPr>
          <w:noProof/>
        </w:rPr>
        <w:fldChar w:fldCharType="begin"/>
      </w:r>
      <w:r>
        <w:rPr>
          <w:noProof/>
        </w:rPr>
        <w:instrText xml:space="preserve"> PAGEREF _Toc338703752 \h </w:instrText>
      </w:r>
      <w:r>
        <w:rPr>
          <w:noProof/>
        </w:rPr>
      </w:r>
      <w:r>
        <w:rPr>
          <w:noProof/>
        </w:rPr>
        <w:fldChar w:fldCharType="separate"/>
      </w:r>
      <w:r>
        <w:rPr>
          <w:noProof/>
        </w:rPr>
        <w:t>141</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9.3.9</w:t>
      </w:r>
      <w:r>
        <w:rPr>
          <w:rFonts w:asciiTheme="minorHAnsi" w:eastAsiaTheme="minorEastAsia" w:hAnsiTheme="minorHAnsi" w:cstheme="minorBidi"/>
          <w:noProof/>
          <w:sz w:val="22"/>
          <w:szCs w:val="22"/>
          <w:lang w:val="en-US"/>
        </w:rPr>
        <w:tab/>
      </w:r>
      <w:r>
        <w:rPr>
          <w:noProof/>
        </w:rPr>
        <w:t>Edible Berries</w:t>
      </w:r>
      <w:r>
        <w:rPr>
          <w:noProof/>
        </w:rPr>
        <w:tab/>
      </w:r>
      <w:r>
        <w:rPr>
          <w:noProof/>
        </w:rPr>
        <w:fldChar w:fldCharType="begin"/>
      </w:r>
      <w:r>
        <w:rPr>
          <w:noProof/>
        </w:rPr>
        <w:instrText xml:space="preserve"> PAGEREF _Toc338703753 \h </w:instrText>
      </w:r>
      <w:r>
        <w:rPr>
          <w:noProof/>
        </w:rPr>
      </w:r>
      <w:r>
        <w:rPr>
          <w:noProof/>
        </w:rPr>
        <w:fldChar w:fldCharType="separate"/>
      </w:r>
      <w:r>
        <w:rPr>
          <w:noProof/>
        </w:rPr>
        <w:t>144</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9.4</w:t>
      </w:r>
      <w:r>
        <w:rPr>
          <w:rFonts w:asciiTheme="minorHAnsi" w:eastAsiaTheme="minorEastAsia" w:hAnsiTheme="minorHAnsi" w:cstheme="minorBidi"/>
          <w:noProof/>
          <w:sz w:val="22"/>
          <w:szCs w:val="22"/>
          <w:lang w:val="en-US"/>
        </w:rPr>
        <w:tab/>
      </w:r>
      <w:r>
        <w:rPr>
          <w:noProof/>
        </w:rPr>
        <w:t>Cultural and Social</w:t>
      </w:r>
      <w:r>
        <w:rPr>
          <w:noProof/>
        </w:rPr>
        <w:tab/>
      </w:r>
      <w:r>
        <w:rPr>
          <w:noProof/>
        </w:rPr>
        <w:fldChar w:fldCharType="begin"/>
      </w:r>
      <w:r>
        <w:rPr>
          <w:noProof/>
        </w:rPr>
        <w:instrText xml:space="preserve"> PAGEREF _Toc338703754 \h </w:instrText>
      </w:r>
      <w:r>
        <w:rPr>
          <w:noProof/>
        </w:rPr>
      </w:r>
      <w:r>
        <w:rPr>
          <w:noProof/>
        </w:rPr>
        <w:fldChar w:fldCharType="separate"/>
      </w:r>
      <w:r>
        <w:rPr>
          <w:noProof/>
        </w:rPr>
        <w:t>146</w:t>
      </w:r>
      <w:r>
        <w:rPr>
          <w:noProof/>
        </w:rPr>
        <w:fldChar w:fldCharType="end"/>
      </w:r>
    </w:p>
    <w:p w:rsidR="00794F48" w:rsidRDefault="00794F48">
      <w:pPr>
        <w:pStyle w:val="TOC3"/>
        <w:rPr>
          <w:rFonts w:asciiTheme="minorHAnsi" w:eastAsiaTheme="minorEastAsia" w:hAnsiTheme="minorHAnsi" w:cstheme="minorBidi"/>
          <w:noProof/>
          <w:sz w:val="22"/>
          <w:szCs w:val="22"/>
          <w:lang w:val="en-US"/>
        </w:rPr>
      </w:pPr>
      <w:r>
        <w:rPr>
          <w:noProof/>
        </w:rPr>
        <w:t>9.4.1</w:t>
      </w:r>
      <w:r>
        <w:rPr>
          <w:rFonts w:asciiTheme="minorHAnsi" w:eastAsiaTheme="minorEastAsia" w:hAnsiTheme="minorHAnsi" w:cstheme="minorBidi"/>
          <w:noProof/>
          <w:sz w:val="22"/>
          <w:szCs w:val="22"/>
          <w:lang w:val="en-US"/>
        </w:rPr>
        <w:tab/>
      </w:r>
      <w:r>
        <w:rPr>
          <w:noProof/>
        </w:rPr>
        <w:t>Access of CLFN to CLFN SA</w:t>
      </w:r>
      <w:r>
        <w:rPr>
          <w:noProof/>
        </w:rPr>
        <w:tab/>
      </w:r>
      <w:r>
        <w:rPr>
          <w:noProof/>
        </w:rPr>
        <w:fldChar w:fldCharType="begin"/>
      </w:r>
      <w:r>
        <w:rPr>
          <w:noProof/>
        </w:rPr>
        <w:instrText xml:space="preserve"> PAGEREF _Toc338703755 \h </w:instrText>
      </w:r>
      <w:r>
        <w:rPr>
          <w:noProof/>
        </w:rPr>
      </w:r>
      <w:r>
        <w:rPr>
          <w:noProof/>
        </w:rPr>
        <w:fldChar w:fldCharType="separate"/>
      </w:r>
      <w:r>
        <w:rPr>
          <w:noProof/>
        </w:rPr>
        <w:t>146</w:t>
      </w:r>
      <w:r>
        <w:rPr>
          <w:noProof/>
        </w:rPr>
        <w:fldChar w:fldCharType="end"/>
      </w:r>
    </w:p>
    <w:p w:rsidR="00794F48" w:rsidRDefault="00794F48">
      <w:pPr>
        <w:pStyle w:val="TOC1"/>
        <w:rPr>
          <w:rFonts w:asciiTheme="minorHAnsi" w:eastAsiaTheme="minorEastAsia" w:hAnsiTheme="minorHAnsi" w:cstheme="minorBidi"/>
          <w:b w:val="0"/>
          <w:noProof/>
          <w:sz w:val="22"/>
          <w:szCs w:val="22"/>
          <w:lang w:val="en-US"/>
        </w:rPr>
      </w:pPr>
      <w:r>
        <w:rPr>
          <w:noProof/>
        </w:rPr>
        <w:t>10.</w:t>
      </w:r>
      <w:r>
        <w:rPr>
          <w:rFonts w:asciiTheme="minorHAnsi" w:eastAsiaTheme="minorEastAsia" w:hAnsiTheme="minorHAnsi" w:cstheme="minorBidi"/>
          <w:b w:val="0"/>
          <w:noProof/>
          <w:sz w:val="22"/>
          <w:szCs w:val="22"/>
          <w:lang w:val="en-US"/>
        </w:rPr>
        <w:tab/>
      </w:r>
      <w:r>
        <w:rPr>
          <w:noProof/>
        </w:rPr>
        <w:t>Conclusions</w:t>
      </w:r>
      <w:r>
        <w:rPr>
          <w:noProof/>
        </w:rPr>
        <w:tab/>
      </w:r>
      <w:r>
        <w:rPr>
          <w:noProof/>
        </w:rPr>
        <w:fldChar w:fldCharType="begin"/>
      </w:r>
      <w:r>
        <w:rPr>
          <w:noProof/>
        </w:rPr>
        <w:instrText xml:space="preserve"> PAGEREF _Toc338703756 \h </w:instrText>
      </w:r>
      <w:r>
        <w:rPr>
          <w:noProof/>
        </w:rPr>
      </w:r>
      <w:r>
        <w:rPr>
          <w:noProof/>
        </w:rPr>
        <w:fldChar w:fldCharType="separate"/>
      </w:r>
      <w:r>
        <w:rPr>
          <w:noProof/>
        </w:rPr>
        <w:t>148</w:t>
      </w:r>
      <w:r>
        <w:rPr>
          <w:noProof/>
        </w:rPr>
        <w:fldChar w:fldCharType="end"/>
      </w:r>
    </w:p>
    <w:p w:rsidR="00794F48" w:rsidRDefault="00794F48">
      <w:pPr>
        <w:pStyle w:val="TOC1"/>
        <w:rPr>
          <w:rFonts w:asciiTheme="minorHAnsi" w:eastAsiaTheme="minorEastAsia" w:hAnsiTheme="minorHAnsi" w:cstheme="minorBidi"/>
          <w:b w:val="0"/>
          <w:noProof/>
          <w:sz w:val="22"/>
          <w:szCs w:val="22"/>
          <w:lang w:val="en-US"/>
        </w:rPr>
      </w:pPr>
      <w:r>
        <w:rPr>
          <w:noProof/>
        </w:rPr>
        <w:t>11.</w:t>
      </w:r>
      <w:r>
        <w:rPr>
          <w:rFonts w:asciiTheme="minorHAnsi" w:eastAsiaTheme="minorEastAsia" w:hAnsiTheme="minorHAnsi" w:cstheme="minorBidi"/>
          <w:b w:val="0"/>
          <w:noProof/>
          <w:sz w:val="22"/>
          <w:szCs w:val="22"/>
          <w:lang w:val="en-US"/>
        </w:rPr>
        <w:tab/>
      </w:r>
      <w:r>
        <w:rPr>
          <w:noProof/>
        </w:rPr>
        <w:t>Limitations and Important Considerations</w:t>
      </w:r>
      <w:r>
        <w:rPr>
          <w:noProof/>
        </w:rPr>
        <w:tab/>
      </w:r>
      <w:r>
        <w:rPr>
          <w:noProof/>
        </w:rPr>
        <w:fldChar w:fldCharType="begin"/>
      </w:r>
      <w:r>
        <w:rPr>
          <w:noProof/>
        </w:rPr>
        <w:instrText xml:space="preserve"> PAGEREF _Toc338703757 \h </w:instrText>
      </w:r>
      <w:r>
        <w:rPr>
          <w:noProof/>
        </w:rPr>
      </w:r>
      <w:r>
        <w:rPr>
          <w:noProof/>
        </w:rPr>
        <w:fldChar w:fldCharType="separate"/>
      </w:r>
      <w:r>
        <w:rPr>
          <w:noProof/>
        </w:rPr>
        <w:t>150</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11.1</w:t>
      </w:r>
      <w:r>
        <w:rPr>
          <w:rFonts w:asciiTheme="minorHAnsi" w:eastAsiaTheme="minorEastAsia" w:hAnsiTheme="minorHAnsi" w:cstheme="minorBidi"/>
          <w:noProof/>
          <w:sz w:val="22"/>
          <w:szCs w:val="22"/>
          <w:lang w:val="en-US"/>
        </w:rPr>
        <w:tab/>
      </w:r>
      <w:r>
        <w:rPr>
          <w:noProof/>
        </w:rPr>
        <w:t>Future Conditions</w:t>
      </w:r>
      <w:r>
        <w:rPr>
          <w:noProof/>
        </w:rPr>
        <w:tab/>
      </w:r>
      <w:r>
        <w:rPr>
          <w:noProof/>
        </w:rPr>
        <w:fldChar w:fldCharType="begin"/>
      </w:r>
      <w:r>
        <w:rPr>
          <w:noProof/>
        </w:rPr>
        <w:instrText xml:space="preserve"> PAGEREF _Toc338703758 \h </w:instrText>
      </w:r>
      <w:r>
        <w:rPr>
          <w:noProof/>
        </w:rPr>
      </w:r>
      <w:r>
        <w:rPr>
          <w:noProof/>
        </w:rPr>
        <w:fldChar w:fldCharType="separate"/>
      </w:r>
      <w:r>
        <w:rPr>
          <w:noProof/>
        </w:rPr>
        <w:t>150</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11.2</w:t>
      </w:r>
      <w:r>
        <w:rPr>
          <w:rFonts w:asciiTheme="minorHAnsi" w:eastAsiaTheme="minorEastAsia" w:hAnsiTheme="minorHAnsi" w:cstheme="minorBidi"/>
          <w:noProof/>
          <w:sz w:val="22"/>
          <w:szCs w:val="22"/>
          <w:lang w:val="en-US"/>
        </w:rPr>
        <w:tab/>
      </w:r>
      <w:r>
        <w:rPr>
          <w:noProof/>
        </w:rPr>
        <w:t>Impact Prediction and Significance</w:t>
      </w:r>
      <w:r>
        <w:rPr>
          <w:noProof/>
        </w:rPr>
        <w:tab/>
      </w:r>
      <w:r>
        <w:rPr>
          <w:noProof/>
        </w:rPr>
        <w:fldChar w:fldCharType="begin"/>
      </w:r>
      <w:r>
        <w:rPr>
          <w:noProof/>
        </w:rPr>
        <w:instrText xml:space="preserve"> PAGEREF _Toc338703759 \h </w:instrText>
      </w:r>
      <w:r>
        <w:rPr>
          <w:noProof/>
        </w:rPr>
      </w:r>
      <w:r>
        <w:rPr>
          <w:noProof/>
        </w:rPr>
        <w:fldChar w:fldCharType="separate"/>
      </w:r>
      <w:r>
        <w:rPr>
          <w:noProof/>
        </w:rPr>
        <w:t>150</w:t>
      </w:r>
      <w:r>
        <w:rPr>
          <w:noProof/>
        </w:rPr>
        <w:fldChar w:fldCharType="end"/>
      </w:r>
    </w:p>
    <w:p w:rsidR="00794F48" w:rsidRDefault="00794F48">
      <w:pPr>
        <w:pStyle w:val="TOC1"/>
        <w:rPr>
          <w:rFonts w:asciiTheme="minorHAnsi" w:eastAsiaTheme="minorEastAsia" w:hAnsiTheme="minorHAnsi" w:cstheme="minorBidi"/>
          <w:b w:val="0"/>
          <w:noProof/>
          <w:sz w:val="22"/>
          <w:szCs w:val="22"/>
          <w:lang w:val="en-US"/>
        </w:rPr>
      </w:pPr>
      <w:r>
        <w:rPr>
          <w:noProof/>
        </w:rPr>
        <w:t>12.</w:t>
      </w:r>
      <w:r>
        <w:rPr>
          <w:rFonts w:asciiTheme="minorHAnsi" w:eastAsiaTheme="minorEastAsia" w:hAnsiTheme="minorHAnsi" w:cstheme="minorBidi"/>
          <w:b w:val="0"/>
          <w:noProof/>
          <w:sz w:val="22"/>
          <w:szCs w:val="22"/>
          <w:lang w:val="en-US"/>
        </w:rPr>
        <w:tab/>
      </w:r>
      <w:r>
        <w:rPr>
          <w:noProof/>
        </w:rPr>
        <w:t>References</w:t>
      </w:r>
      <w:r>
        <w:rPr>
          <w:noProof/>
        </w:rPr>
        <w:tab/>
      </w:r>
      <w:r>
        <w:rPr>
          <w:noProof/>
        </w:rPr>
        <w:fldChar w:fldCharType="begin"/>
      </w:r>
      <w:r>
        <w:rPr>
          <w:noProof/>
        </w:rPr>
        <w:instrText xml:space="preserve"> PAGEREF _Toc338703760 \h </w:instrText>
      </w:r>
      <w:r>
        <w:rPr>
          <w:noProof/>
        </w:rPr>
      </w:r>
      <w:r>
        <w:rPr>
          <w:noProof/>
        </w:rPr>
        <w:fldChar w:fldCharType="separate"/>
      </w:r>
      <w:r>
        <w:rPr>
          <w:noProof/>
        </w:rPr>
        <w:t>151</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General References</w:t>
      </w:r>
      <w:r>
        <w:rPr>
          <w:noProof/>
        </w:rPr>
        <w:tab/>
      </w:r>
      <w:r>
        <w:rPr>
          <w:noProof/>
        </w:rPr>
        <w:fldChar w:fldCharType="begin"/>
      </w:r>
      <w:r>
        <w:rPr>
          <w:noProof/>
        </w:rPr>
        <w:instrText xml:space="preserve"> PAGEREF _Toc338703761 \h </w:instrText>
      </w:r>
      <w:r>
        <w:rPr>
          <w:noProof/>
        </w:rPr>
      </w:r>
      <w:r>
        <w:rPr>
          <w:noProof/>
        </w:rPr>
        <w:fldChar w:fldCharType="separate"/>
      </w:r>
      <w:r>
        <w:rPr>
          <w:noProof/>
        </w:rPr>
        <w:t>154</w:t>
      </w:r>
      <w:r>
        <w:rPr>
          <w:noProof/>
        </w:rPr>
        <w:fldChar w:fldCharType="end"/>
      </w:r>
    </w:p>
    <w:p w:rsidR="00794F48" w:rsidRDefault="00794F48">
      <w:pPr>
        <w:pStyle w:val="TOC1"/>
        <w:rPr>
          <w:rFonts w:asciiTheme="minorHAnsi" w:eastAsiaTheme="minorEastAsia" w:hAnsiTheme="minorHAnsi" w:cstheme="minorBidi"/>
          <w:b w:val="0"/>
          <w:noProof/>
          <w:sz w:val="22"/>
          <w:szCs w:val="22"/>
          <w:lang w:val="en-US"/>
        </w:rPr>
      </w:pPr>
      <w:r>
        <w:rPr>
          <w:noProof/>
        </w:rPr>
        <w:t>Appendices</w:t>
      </w:r>
      <w:r>
        <w:rPr>
          <w:noProof/>
        </w:rPr>
        <w:tab/>
      </w:r>
      <w:r>
        <w:rPr>
          <w:noProof/>
        </w:rPr>
        <w:fldChar w:fldCharType="begin"/>
      </w:r>
      <w:r>
        <w:rPr>
          <w:noProof/>
        </w:rPr>
        <w:instrText xml:space="preserve"> PAGEREF _Toc338703762 \h </w:instrText>
      </w:r>
      <w:r>
        <w:rPr>
          <w:noProof/>
        </w:rPr>
      </w:r>
      <w:r>
        <w:rPr>
          <w:noProof/>
        </w:rPr>
        <w:fldChar w:fldCharType="separate"/>
      </w:r>
      <w:r>
        <w:rPr>
          <w:noProof/>
        </w:rPr>
        <w:t>161</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lastRenderedPageBreak/>
        <w:t>12.1</w:t>
      </w:r>
      <w:r>
        <w:rPr>
          <w:rFonts w:asciiTheme="minorHAnsi" w:eastAsiaTheme="minorEastAsia" w:hAnsiTheme="minorHAnsi" w:cstheme="minorBidi"/>
          <w:noProof/>
          <w:sz w:val="22"/>
          <w:szCs w:val="22"/>
          <w:lang w:val="en-US"/>
        </w:rPr>
        <w:tab/>
      </w:r>
      <w:r>
        <w:rPr>
          <w:noProof/>
        </w:rPr>
        <w:t>Appendix A. CLFN ALCES Technical Manual</w:t>
      </w:r>
      <w:r>
        <w:rPr>
          <w:noProof/>
        </w:rPr>
        <w:tab/>
      </w:r>
      <w:r>
        <w:rPr>
          <w:noProof/>
        </w:rPr>
        <w:fldChar w:fldCharType="begin"/>
      </w:r>
      <w:r>
        <w:rPr>
          <w:noProof/>
        </w:rPr>
        <w:instrText xml:space="preserve"> PAGEREF _Toc338703763 \h </w:instrText>
      </w:r>
      <w:r>
        <w:rPr>
          <w:noProof/>
        </w:rPr>
      </w:r>
      <w:r>
        <w:rPr>
          <w:noProof/>
        </w:rPr>
        <w:fldChar w:fldCharType="separate"/>
      </w:r>
      <w:r>
        <w:rPr>
          <w:noProof/>
        </w:rPr>
        <w:t>161</w:t>
      </w:r>
      <w:r>
        <w:rPr>
          <w:noProof/>
        </w:rPr>
        <w:fldChar w:fldCharType="end"/>
      </w:r>
    </w:p>
    <w:p w:rsidR="00794F48" w:rsidRDefault="00794F48">
      <w:pPr>
        <w:pStyle w:val="TOC2"/>
        <w:rPr>
          <w:rFonts w:asciiTheme="minorHAnsi" w:eastAsiaTheme="minorEastAsia" w:hAnsiTheme="minorHAnsi" w:cstheme="minorBidi"/>
          <w:noProof/>
          <w:sz w:val="22"/>
          <w:szCs w:val="22"/>
          <w:lang w:val="en-US"/>
        </w:rPr>
      </w:pPr>
      <w:r>
        <w:rPr>
          <w:noProof/>
        </w:rPr>
        <w:t>12.2</w:t>
      </w:r>
      <w:r>
        <w:rPr>
          <w:rFonts w:asciiTheme="minorHAnsi" w:eastAsiaTheme="minorEastAsia" w:hAnsiTheme="minorHAnsi" w:cstheme="minorBidi"/>
          <w:noProof/>
          <w:sz w:val="22"/>
          <w:szCs w:val="22"/>
          <w:lang w:val="en-US"/>
        </w:rPr>
        <w:tab/>
      </w:r>
      <w:r w:rsidRPr="00EF6B6D">
        <w:rPr>
          <w:noProof/>
        </w:rPr>
        <w:t>Appendix B. Report on Hydrocarbon volumes and recovery factors for ALCES Cold Lake First Nations Project</w:t>
      </w:r>
      <w:r>
        <w:rPr>
          <w:noProof/>
        </w:rPr>
        <w:tab/>
      </w:r>
      <w:r>
        <w:rPr>
          <w:noProof/>
        </w:rPr>
        <w:fldChar w:fldCharType="begin"/>
      </w:r>
      <w:r>
        <w:rPr>
          <w:noProof/>
        </w:rPr>
        <w:instrText xml:space="preserve"> PAGEREF _Toc338703764 \h </w:instrText>
      </w:r>
      <w:r>
        <w:rPr>
          <w:noProof/>
        </w:rPr>
      </w:r>
      <w:r>
        <w:rPr>
          <w:noProof/>
        </w:rPr>
        <w:fldChar w:fldCharType="separate"/>
      </w:r>
      <w:r>
        <w:rPr>
          <w:noProof/>
        </w:rPr>
        <w:t>162</w:t>
      </w:r>
      <w:r>
        <w:rPr>
          <w:noProof/>
        </w:rPr>
        <w:fldChar w:fldCharType="end"/>
      </w:r>
    </w:p>
    <w:p w:rsidR="00C55A94" w:rsidRDefault="00575CA7" w:rsidP="007A2AE9">
      <w:pPr>
        <w:pStyle w:val="BodyText"/>
        <w:tabs>
          <w:tab w:val="left" w:pos="426"/>
          <w:tab w:val="left" w:pos="567"/>
          <w:tab w:val="left" w:pos="709"/>
          <w:tab w:val="right" w:leader="dot" w:pos="9214"/>
          <w:tab w:val="right" w:leader="dot" w:pos="9356"/>
        </w:tabs>
        <w:rPr>
          <w:lang w:val="en-US"/>
        </w:rPr>
      </w:pPr>
      <w:r>
        <w:rPr>
          <w:lang w:val="en-US"/>
        </w:rPr>
        <w:fldChar w:fldCharType="end"/>
      </w:r>
    </w:p>
    <w:p w:rsidR="00793B35" w:rsidRDefault="00793B35">
      <w:pPr>
        <w:spacing w:after="200" w:line="276" w:lineRule="auto"/>
        <w:rPr>
          <w:rFonts w:ascii="Arial" w:hAnsi="Arial"/>
          <w:b/>
          <w:bCs/>
          <w:caps/>
          <w:kern w:val="28"/>
          <w:sz w:val="22"/>
          <w:szCs w:val="20"/>
          <w:lang w:val="en-US"/>
        </w:rPr>
      </w:pPr>
      <w:bookmarkStart w:id="4" w:name="_Toc236047648"/>
      <w:r>
        <w:br w:type="page"/>
      </w:r>
    </w:p>
    <w:p w:rsidR="00C55A94" w:rsidRDefault="00C55A94" w:rsidP="00C55A94">
      <w:pPr>
        <w:pStyle w:val="Headingwithou-listoffigures"/>
      </w:pPr>
      <w:bookmarkStart w:id="5" w:name="_Toc338703675"/>
      <w:r>
        <w:lastRenderedPageBreak/>
        <w:t>List of Tables</w:t>
      </w:r>
      <w:bookmarkEnd w:id="4"/>
      <w:bookmarkEnd w:id="5"/>
    </w:p>
    <w:p w:rsidR="00794F48" w:rsidRDefault="00575CA7">
      <w:pPr>
        <w:pStyle w:val="TableofFigures"/>
        <w:tabs>
          <w:tab w:val="right" w:leader="dot" w:pos="8993"/>
        </w:tabs>
        <w:rPr>
          <w:rFonts w:asciiTheme="minorHAnsi" w:eastAsiaTheme="minorEastAsia" w:hAnsiTheme="minorHAnsi" w:cstheme="minorBidi"/>
          <w:noProof/>
          <w:sz w:val="22"/>
          <w:szCs w:val="22"/>
          <w:lang w:val="en-US"/>
        </w:rPr>
      </w:pPr>
      <w:r>
        <w:rPr>
          <w:lang w:val="en-US"/>
        </w:rPr>
        <w:fldChar w:fldCharType="begin"/>
      </w:r>
      <w:r w:rsidR="00C55A94">
        <w:rPr>
          <w:lang w:val="en-US"/>
        </w:rPr>
        <w:instrText xml:space="preserve"> TOC \c "Table" </w:instrText>
      </w:r>
      <w:r>
        <w:rPr>
          <w:lang w:val="en-US"/>
        </w:rPr>
        <w:fldChar w:fldCharType="separate"/>
      </w:r>
      <w:r w:rsidR="00794F48">
        <w:rPr>
          <w:noProof/>
        </w:rPr>
        <w:t>Table 1. Long-term temperature at the Lac La Biche station (Atmospheric Environment 1981).</w:t>
      </w:r>
      <w:r w:rsidR="00794F48">
        <w:rPr>
          <w:noProof/>
        </w:rPr>
        <w:tab/>
      </w:r>
      <w:r w:rsidR="00794F48">
        <w:rPr>
          <w:noProof/>
        </w:rPr>
        <w:fldChar w:fldCharType="begin"/>
      </w:r>
      <w:r w:rsidR="00794F48">
        <w:rPr>
          <w:noProof/>
        </w:rPr>
        <w:instrText xml:space="preserve"> PAGEREF _Toc338703765 \h </w:instrText>
      </w:r>
      <w:r w:rsidR="00794F48">
        <w:rPr>
          <w:noProof/>
        </w:rPr>
      </w:r>
      <w:r w:rsidR="00794F48">
        <w:rPr>
          <w:noProof/>
        </w:rPr>
        <w:fldChar w:fldCharType="separate"/>
      </w:r>
      <w:r w:rsidR="00794F48">
        <w:rPr>
          <w:noProof/>
        </w:rPr>
        <w:t>19</w:t>
      </w:r>
      <w:r w:rsidR="00794F48">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Table 2. Key performance indicators for CLFN ALCES simulator</w:t>
      </w:r>
      <w:r>
        <w:rPr>
          <w:noProof/>
        </w:rPr>
        <w:tab/>
      </w:r>
      <w:r>
        <w:rPr>
          <w:noProof/>
        </w:rPr>
        <w:fldChar w:fldCharType="begin"/>
      </w:r>
      <w:r>
        <w:rPr>
          <w:noProof/>
        </w:rPr>
        <w:instrText xml:space="preserve"> PAGEREF _Toc338703766 \h </w:instrText>
      </w:r>
      <w:r>
        <w:rPr>
          <w:noProof/>
        </w:rPr>
      </w:r>
      <w:r>
        <w:rPr>
          <w:noProof/>
        </w:rPr>
        <w:fldChar w:fldCharType="separate"/>
      </w:r>
      <w:r>
        <w:rPr>
          <w:noProof/>
        </w:rPr>
        <w:t>65</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Table 3. Coefficients for assessing phosphorus, nitrogen, and sediment runoff associated with simulated landscapes.</w:t>
      </w:r>
      <w:r>
        <w:rPr>
          <w:noProof/>
        </w:rPr>
        <w:tab/>
      </w:r>
      <w:r>
        <w:rPr>
          <w:noProof/>
        </w:rPr>
        <w:fldChar w:fldCharType="begin"/>
      </w:r>
      <w:r>
        <w:rPr>
          <w:noProof/>
        </w:rPr>
        <w:instrText xml:space="preserve"> PAGEREF _Toc338703767 \h </w:instrText>
      </w:r>
      <w:r>
        <w:rPr>
          <w:noProof/>
        </w:rPr>
      </w:r>
      <w:r>
        <w:rPr>
          <w:noProof/>
        </w:rPr>
        <w:fldChar w:fldCharType="separate"/>
      </w:r>
      <w:r>
        <w:rPr>
          <w:noProof/>
        </w:rPr>
        <w:t>66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Table 4. Habitat value by cover or footprint type for the moose HSI model.  Values are based on a HSI model developed for CEMA.</w:t>
      </w:r>
      <w:r>
        <w:rPr>
          <w:noProof/>
        </w:rPr>
        <w:tab/>
      </w:r>
      <w:r>
        <w:rPr>
          <w:noProof/>
        </w:rPr>
        <w:fldChar w:fldCharType="begin"/>
      </w:r>
      <w:r>
        <w:rPr>
          <w:noProof/>
        </w:rPr>
        <w:instrText xml:space="preserve"> PAGEREF _Toc338703768 \h </w:instrText>
      </w:r>
      <w:r>
        <w:rPr>
          <w:noProof/>
        </w:rPr>
      </w:r>
      <w:r>
        <w:rPr>
          <w:noProof/>
        </w:rPr>
        <w:fldChar w:fldCharType="separate"/>
      </w:r>
      <w:r>
        <w:rPr>
          <w:noProof/>
        </w:rPr>
        <w:t>76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Table 5. The width of buffers placed around industrial footprints, and percent use of habitat within the buffers.  High (i.e., protection) and moderate (i.e., best practices) access management strategies are implemented by multiplying buffer width by 0 and 0.15, respectively.</w:t>
      </w:r>
      <w:r>
        <w:rPr>
          <w:noProof/>
        </w:rPr>
        <w:tab/>
      </w:r>
      <w:r>
        <w:rPr>
          <w:noProof/>
        </w:rPr>
        <w:fldChar w:fldCharType="begin"/>
      </w:r>
      <w:r>
        <w:rPr>
          <w:noProof/>
        </w:rPr>
        <w:instrText xml:space="preserve"> PAGEREF _Toc338703769 \h </w:instrText>
      </w:r>
      <w:r>
        <w:rPr>
          <w:noProof/>
        </w:rPr>
      </w:r>
      <w:r>
        <w:rPr>
          <w:noProof/>
        </w:rPr>
        <w:fldChar w:fldCharType="separate"/>
      </w:r>
      <w:r>
        <w:rPr>
          <w:noProof/>
        </w:rPr>
        <w:t>76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Table 6.  Habitat quality by age class for moose.</w:t>
      </w:r>
      <w:r>
        <w:rPr>
          <w:noProof/>
        </w:rPr>
        <w:tab/>
      </w:r>
      <w:r>
        <w:rPr>
          <w:noProof/>
        </w:rPr>
        <w:fldChar w:fldCharType="begin"/>
      </w:r>
      <w:r>
        <w:rPr>
          <w:noProof/>
        </w:rPr>
        <w:instrText xml:space="preserve"> PAGEREF _Toc338703770 \h </w:instrText>
      </w:r>
      <w:r>
        <w:rPr>
          <w:noProof/>
        </w:rPr>
      </w:r>
      <w:r>
        <w:rPr>
          <w:noProof/>
        </w:rPr>
        <w:fldChar w:fldCharType="separate"/>
      </w:r>
      <w:r>
        <w:rPr>
          <w:noProof/>
        </w:rPr>
        <w:t>76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Table 7. Habitat value by cover or footprint type for the fisher HSI model.  Values are based on a HSI model developed for CEMA.</w:t>
      </w:r>
      <w:r>
        <w:rPr>
          <w:noProof/>
        </w:rPr>
        <w:tab/>
      </w:r>
      <w:r>
        <w:rPr>
          <w:noProof/>
        </w:rPr>
        <w:fldChar w:fldCharType="begin"/>
      </w:r>
      <w:r>
        <w:rPr>
          <w:noProof/>
        </w:rPr>
        <w:instrText xml:space="preserve"> PAGEREF _Toc338703771 \h </w:instrText>
      </w:r>
      <w:r>
        <w:rPr>
          <w:noProof/>
        </w:rPr>
      </w:r>
      <w:r>
        <w:rPr>
          <w:noProof/>
        </w:rPr>
        <w:fldChar w:fldCharType="separate"/>
      </w:r>
      <w:r>
        <w:rPr>
          <w:noProof/>
        </w:rPr>
        <w:t>79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Table 8. The width of buffers placed around industrial footprints, and percent use of habitat within the buffers by fisher with and without access management.</w:t>
      </w:r>
      <w:r>
        <w:rPr>
          <w:noProof/>
        </w:rPr>
        <w:tab/>
      </w:r>
      <w:r>
        <w:rPr>
          <w:noProof/>
        </w:rPr>
        <w:fldChar w:fldCharType="begin"/>
      </w:r>
      <w:r>
        <w:rPr>
          <w:noProof/>
        </w:rPr>
        <w:instrText xml:space="preserve"> PAGEREF _Toc338703772 \h </w:instrText>
      </w:r>
      <w:r>
        <w:rPr>
          <w:noProof/>
        </w:rPr>
      </w:r>
      <w:r>
        <w:rPr>
          <w:noProof/>
        </w:rPr>
        <w:fldChar w:fldCharType="separate"/>
      </w:r>
      <w:r>
        <w:rPr>
          <w:noProof/>
        </w:rPr>
        <w:t>79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Table 9. Habitat quality by age class for fisher.</w:t>
      </w:r>
      <w:r>
        <w:rPr>
          <w:noProof/>
        </w:rPr>
        <w:tab/>
      </w:r>
      <w:r>
        <w:rPr>
          <w:noProof/>
        </w:rPr>
        <w:fldChar w:fldCharType="begin"/>
      </w:r>
      <w:r>
        <w:rPr>
          <w:noProof/>
        </w:rPr>
        <w:instrText xml:space="preserve"> PAGEREF _Toc338703773 \h </w:instrText>
      </w:r>
      <w:r>
        <w:rPr>
          <w:noProof/>
        </w:rPr>
      </w:r>
      <w:r>
        <w:rPr>
          <w:noProof/>
        </w:rPr>
        <w:fldChar w:fldCharType="separate"/>
      </w:r>
      <w:r>
        <w:rPr>
          <w:noProof/>
        </w:rPr>
        <w:t>79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Table 10. Fish community descriptions associated with INFI values of 1, 0.5, and 0 (from Sullivan 2006).</w:t>
      </w:r>
      <w:r>
        <w:rPr>
          <w:noProof/>
        </w:rPr>
        <w:tab/>
      </w:r>
      <w:r>
        <w:rPr>
          <w:noProof/>
        </w:rPr>
        <w:fldChar w:fldCharType="begin"/>
      </w:r>
      <w:r>
        <w:rPr>
          <w:noProof/>
        </w:rPr>
        <w:instrText xml:space="preserve"> PAGEREF _Toc338703774 \h </w:instrText>
      </w:r>
      <w:r>
        <w:rPr>
          <w:noProof/>
        </w:rPr>
      </w:r>
      <w:r>
        <w:rPr>
          <w:noProof/>
        </w:rPr>
        <w:fldChar w:fldCharType="separate"/>
      </w:r>
      <w:r>
        <w:rPr>
          <w:noProof/>
        </w:rPr>
        <w:t>81</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Table 11. Relationships between INFI and risk factors (linear edge density, population density, stream flow, and watershed discontinuity with and without access management)</w:t>
      </w:r>
      <w:r>
        <w:rPr>
          <w:noProof/>
        </w:rPr>
        <w:tab/>
      </w:r>
      <w:r>
        <w:rPr>
          <w:noProof/>
        </w:rPr>
        <w:fldChar w:fldCharType="begin"/>
      </w:r>
      <w:r>
        <w:rPr>
          <w:noProof/>
        </w:rPr>
        <w:instrText xml:space="preserve"> PAGEREF _Toc338703775 \h </w:instrText>
      </w:r>
      <w:r>
        <w:rPr>
          <w:noProof/>
        </w:rPr>
      </w:r>
      <w:r>
        <w:rPr>
          <w:noProof/>
        </w:rPr>
        <w:fldChar w:fldCharType="separate"/>
      </w:r>
      <w:r>
        <w:rPr>
          <w:noProof/>
        </w:rPr>
        <w:t>82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Table 12</w:t>
      </w:r>
      <w:r w:rsidRPr="00E42DD5">
        <w:rPr>
          <w:noProof/>
          <w:lang w:val="en-US"/>
        </w:rPr>
        <w:t>. Alberta Sulphur Recovery Guidelines</w:t>
      </w:r>
      <w:r>
        <w:rPr>
          <w:noProof/>
        </w:rPr>
        <w:tab/>
      </w:r>
      <w:r>
        <w:rPr>
          <w:noProof/>
        </w:rPr>
        <w:fldChar w:fldCharType="begin"/>
      </w:r>
      <w:r>
        <w:rPr>
          <w:noProof/>
        </w:rPr>
        <w:instrText xml:space="preserve"> PAGEREF _Toc338703776 \h </w:instrText>
      </w:r>
      <w:r>
        <w:rPr>
          <w:noProof/>
        </w:rPr>
      </w:r>
      <w:r>
        <w:rPr>
          <w:noProof/>
        </w:rPr>
        <w:fldChar w:fldCharType="separate"/>
      </w:r>
      <w:r>
        <w:rPr>
          <w:noProof/>
        </w:rPr>
        <w:t>83</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 xml:space="preserve">Table 13. </w:t>
      </w:r>
      <w:r w:rsidRPr="00E42DD5">
        <w:rPr>
          <w:noProof/>
          <w:lang w:val="en-US"/>
        </w:rPr>
        <w:t>Classes of Bitumen Extraction Facilities</w:t>
      </w:r>
      <w:r>
        <w:rPr>
          <w:noProof/>
        </w:rPr>
        <w:tab/>
      </w:r>
      <w:r>
        <w:rPr>
          <w:noProof/>
        </w:rPr>
        <w:fldChar w:fldCharType="begin"/>
      </w:r>
      <w:r>
        <w:rPr>
          <w:noProof/>
        </w:rPr>
        <w:instrText xml:space="preserve"> PAGEREF _Toc338703777 \h </w:instrText>
      </w:r>
      <w:r>
        <w:rPr>
          <w:noProof/>
        </w:rPr>
      </w:r>
      <w:r>
        <w:rPr>
          <w:noProof/>
        </w:rPr>
        <w:fldChar w:fldCharType="separate"/>
      </w:r>
      <w:r>
        <w:rPr>
          <w:noProof/>
        </w:rPr>
        <w:t>83</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Table 14.  Data sets used to assess the current distribution of anthropogenic footprint in Alberta.</w:t>
      </w:r>
      <w:r>
        <w:rPr>
          <w:noProof/>
        </w:rPr>
        <w:tab/>
      </w:r>
      <w:r>
        <w:rPr>
          <w:noProof/>
        </w:rPr>
        <w:fldChar w:fldCharType="begin"/>
      </w:r>
      <w:r>
        <w:rPr>
          <w:noProof/>
        </w:rPr>
        <w:instrText xml:space="preserve"> PAGEREF _Toc338703778 \h </w:instrText>
      </w:r>
      <w:r>
        <w:rPr>
          <w:noProof/>
        </w:rPr>
      </w:r>
      <w:r>
        <w:rPr>
          <w:noProof/>
        </w:rPr>
        <w:fldChar w:fldCharType="separate"/>
      </w:r>
      <w:r>
        <w:rPr>
          <w:noProof/>
        </w:rPr>
        <w:t>90</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Table 15. Major assumption defining future simulations in CLFN ALCES.</w:t>
      </w:r>
      <w:r>
        <w:rPr>
          <w:noProof/>
        </w:rPr>
        <w:tab/>
      </w:r>
      <w:r>
        <w:rPr>
          <w:noProof/>
        </w:rPr>
        <w:fldChar w:fldCharType="begin"/>
      </w:r>
      <w:r>
        <w:rPr>
          <w:noProof/>
        </w:rPr>
        <w:instrText xml:space="preserve"> PAGEREF _Toc338703779 \h </w:instrText>
      </w:r>
      <w:r>
        <w:rPr>
          <w:noProof/>
        </w:rPr>
      </w:r>
      <w:r>
        <w:rPr>
          <w:noProof/>
        </w:rPr>
        <w:fldChar w:fldCharType="separate"/>
      </w:r>
      <w:r>
        <w:rPr>
          <w:noProof/>
        </w:rPr>
        <w:t>98</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Table 16. Key land-use footprint reclamation metrics used in the CLFN ALCES model.</w:t>
      </w:r>
      <w:r>
        <w:rPr>
          <w:noProof/>
        </w:rPr>
        <w:tab/>
      </w:r>
      <w:r>
        <w:rPr>
          <w:noProof/>
        </w:rPr>
        <w:fldChar w:fldCharType="begin"/>
      </w:r>
      <w:r>
        <w:rPr>
          <w:noProof/>
        </w:rPr>
        <w:instrText xml:space="preserve"> PAGEREF _Toc338703780 \h </w:instrText>
      </w:r>
      <w:r>
        <w:rPr>
          <w:noProof/>
        </w:rPr>
      </w:r>
      <w:r>
        <w:rPr>
          <w:noProof/>
        </w:rPr>
        <w:fldChar w:fldCharType="separate"/>
      </w:r>
      <w:r>
        <w:rPr>
          <w:noProof/>
        </w:rPr>
        <w:t>110</w:t>
      </w:r>
      <w:r>
        <w:rPr>
          <w:noProof/>
        </w:rPr>
        <w:fldChar w:fldCharType="end"/>
      </w:r>
    </w:p>
    <w:p w:rsidR="00C55A94" w:rsidRDefault="00575CA7" w:rsidP="00C55A94">
      <w:pPr>
        <w:pStyle w:val="BodyText"/>
        <w:rPr>
          <w:lang w:val="en-US"/>
        </w:rPr>
      </w:pPr>
      <w:r>
        <w:rPr>
          <w:lang w:val="en-US"/>
        </w:rPr>
        <w:fldChar w:fldCharType="end"/>
      </w:r>
    </w:p>
    <w:p w:rsidR="00793B35" w:rsidRDefault="00793B35">
      <w:pPr>
        <w:spacing w:after="200" w:line="276" w:lineRule="auto"/>
        <w:rPr>
          <w:rFonts w:ascii="Arial" w:hAnsi="Arial"/>
          <w:b/>
          <w:bCs/>
          <w:caps/>
          <w:kern w:val="28"/>
          <w:sz w:val="22"/>
          <w:szCs w:val="20"/>
          <w:lang w:val="en-US"/>
        </w:rPr>
      </w:pPr>
      <w:bookmarkStart w:id="6" w:name="_Toc236047649"/>
      <w:r>
        <w:br w:type="page"/>
      </w:r>
    </w:p>
    <w:p w:rsidR="00C55A94" w:rsidRDefault="00C55A94" w:rsidP="00C55A94">
      <w:pPr>
        <w:pStyle w:val="Headingwithou-listoffigures"/>
      </w:pPr>
      <w:bookmarkStart w:id="7" w:name="_Toc338703676"/>
      <w:r>
        <w:lastRenderedPageBreak/>
        <w:t>List of Figures</w:t>
      </w:r>
      <w:bookmarkEnd w:id="6"/>
      <w:bookmarkEnd w:id="7"/>
      <w:r>
        <w:t xml:space="preserve"> </w:t>
      </w:r>
    </w:p>
    <w:p w:rsidR="00794F48" w:rsidRDefault="00575CA7">
      <w:pPr>
        <w:pStyle w:val="TableofFigures"/>
        <w:tabs>
          <w:tab w:val="right" w:leader="dot" w:pos="8993"/>
        </w:tabs>
        <w:rPr>
          <w:rFonts w:asciiTheme="minorHAnsi" w:eastAsiaTheme="minorEastAsia" w:hAnsiTheme="minorHAnsi" w:cstheme="minorBidi"/>
          <w:noProof/>
          <w:sz w:val="22"/>
          <w:szCs w:val="22"/>
          <w:lang w:val="en-US"/>
        </w:rPr>
      </w:pPr>
      <w:r>
        <w:rPr>
          <w:rStyle w:val="Hyperlink"/>
        </w:rPr>
        <w:fldChar w:fldCharType="begin"/>
      </w:r>
      <w:r w:rsidR="00715E62">
        <w:rPr>
          <w:rStyle w:val="Hyperlink"/>
        </w:rPr>
        <w:instrText xml:space="preserve"> TOC \c "Figure" </w:instrText>
      </w:r>
      <w:r>
        <w:rPr>
          <w:rStyle w:val="Hyperlink"/>
        </w:rPr>
        <w:fldChar w:fldCharType="separate"/>
      </w:r>
      <w:r w:rsidR="00794F48">
        <w:rPr>
          <w:noProof/>
        </w:rPr>
        <w:t>Figure 1. Traditional activities involving the contemporary CLFN communities. Photos taken during the past few years and provided by the Cold Lake First Nation community.</w:t>
      </w:r>
      <w:r w:rsidR="00794F48">
        <w:rPr>
          <w:noProof/>
        </w:rPr>
        <w:tab/>
      </w:r>
      <w:r w:rsidR="00794F48">
        <w:rPr>
          <w:noProof/>
        </w:rPr>
        <w:fldChar w:fldCharType="begin"/>
      </w:r>
      <w:r w:rsidR="00794F48">
        <w:rPr>
          <w:noProof/>
        </w:rPr>
        <w:instrText xml:space="preserve"> PAGEREF _Toc338703781 \h </w:instrText>
      </w:r>
      <w:r w:rsidR="00794F48">
        <w:rPr>
          <w:noProof/>
        </w:rPr>
      </w:r>
      <w:r w:rsidR="00794F48">
        <w:rPr>
          <w:noProof/>
        </w:rPr>
        <w:fldChar w:fldCharType="separate"/>
      </w:r>
      <w:r w:rsidR="00794F48">
        <w:rPr>
          <w:noProof/>
        </w:rPr>
        <w:t>15</w:t>
      </w:r>
      <w:r w:rsidR="00794F48">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2. Changes in the CLFN SA caused by land-uses have lead to increasing concerns of the environmental and cultural integrity of the region.</w:t>
      </w:r>
      <w:r>
        <w:rPr>
          <w:noProof/>
        </w:rPr>
        <w:tab/>
      </w:r>
      <w:r>
        <w:rPr>
          <w:noProof/>
        </w:rPr>
        <w:fldChar w:fldCharType="begin"/>
      </w:r>
      <w:r>
        <w:rPr>
          <w:noProof/>
        </w:rPr>
        <w:instrText xml:space="preserve"> PAGEREF _Toc338703782 \h </w:instrText>
      </w:r>
      <w:r>
        <w:rPr>
          <w:noProof/>
        </w:rPr>
      </w:r>
      <w:r>
        <w:rPr>
          <w:noProof/>
        </w:rPr>
        <w:fldChar w:fldCharType="separate"/>
      </w:r>
      <w:r>
        <w:rPr>
          <w:noProof/>
        </w:rPr>
        <w:t>15</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3. Location of the traditional lands of the CLFN (green) within the boreal mixedwood forest (grey) in western Canada (modified from Rowe 1972).</w:t>
      </w:r>
      <w:r>
        <w:rPr>
          <w:noProof/>
        </w:rPr>
        <w:tab/>
      </w:r>
      <w:r>
        <w:rPr>
          <w:noProof/>
        </w:rPr>
        <w:fldChar w:fldCharType="begin"/>
      </w:r>
      <w:r>
        <w:rPr>
          <w:noProof/>
        </w:rPr>
        <w:instrText xml:space="preserve"> PAGEREF _Toc338703783 \h </w:instrText>
      </w:r>
      <w:r>
        <w:rPr>
          <w:noProof/>
        </w:rPr>
      </w:r>
      <w:r>
        <w:rPr>
          <w:noProof/>
        </w:rPr>
        <w:fldChar w:fldCharType="separate"/>
      </w:r>
      <w:r>
        <w:rPr>
          <w:noProof/>
        </w:rPr>
        <w:t>18</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 xml:space="preserve">Figure 4.  </w:t>
      </w:r>
      <w:r w:rsidRPr="00CE438D">
        <w:rPr>
          <w:noProof/>
        </w:rPr>
        <w:t>Examples of general landform, physiognomy, and plant community structure within the study area.</w:t>
      </w:r>
      <w:r>
        <w:rPr>
          <w:noProof/>
        </w:rPr>
        <w:tab/>
      </w:r>
      <w:r>
        <w:rPr>
          <w:noProof/>
        </w:rPr>
        <w:fldChar w:fldCharType="begin"/>
      </w:r>
      <w:r>
        <w:rPr>
          <w:noProof/>
        </w:rPr>
        <w:instrText xml:space="preserve"> PAGEREF _Toc338703784 \h </w:instrText>
      </w:r>
      <w:r>
        <w:rPr>
          <w:noProof/>
        </w:rPr>
      </w:r>
      <w:r>
        <w:rPr>
          <w:noProof/>
        </w:rPr>
        <w:fldChar w:fldCharType="separate"/>
      </w:r>
      <w:r>
        <w:rPr>
          <w:noProof/>
        </w:rPr>
        <w:t>19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5 Average precipitation and temperature in CLFN SA in relation to provincial patterns. Source: Alberta Environment (online).</w:t>
      </w:r>
      <w:r>
        <w:rPr>
          <w:noProof/>
        </w:rPr>
        <w:tab/>
      </w:r>
      <w:r>
        <w:rPr>
          <w:noProof/>
        </w:rPr>
        <w:fldChar w:fldCharType="begin"/>
      </w:r>
      <w:r>
        <w:rPr>
          <w:noProof/>
        </w:rPr>
        <w:instrText xml:space="preserve"> PAGEREF _Toc338703785 \h </w:instrText>
      </w:r>
      <w:r>
        <w:rPr>
          <w:noProof/>
        </w:rPr>
      </w:r>
      <w:r>
        <w:rPr>
          <w:noProof/>
        </w:rPr>
        <w:fldChar w:fldCharType="separate"/>
      </w:r>
      <w:r>
        <w:rPr>
          <w:noProof/>
        </w:rPr>
        <w:t>19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6. Major Lakes of CLFN SA in relation to provincial pattern. Source: Alberta Environment (online).</w:t>
      </w:r>
      <w:r>
        <w:rPr>
          <w:noProof/>
        </w:rPr>
        <w:tab/>
      </w:r>
      <w:r>
        <w:rPr>
          <w:noProof/>
        </w:rPr>
        <w:fldChar w:fldCharType="begin"/>
      </w:r>
      <w:r>
        <w:rPr>
          <w:noProof/>
        </w:rPr>
        <w:instrText xml:space="preserve"> PAGEREF _Toc338703786 \h </w:instrText>
      </w:r>
      <w:r>
        <w:rPr>
          <w:noProof/>
        </w:rPr>
      </w:r>
      <w:r>
        <w:rPr>
          <w:noProof/>
        </w:rPr>
        <w:fldChar w:fldCharType="separate"/>
      </w:r>
      <w:r>
        <w:rPr>
          <w:noProof/>
        </w:rPr>
        <w:t>20</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7. Rivers of CLFN SA in relation to provincial pattern. Source: Alberta Environment (online).</w:t>
      </w:r>
      <w:r>
        <w:rPr>
          <w:noProof/>
        </w:rPr>
        <w:tab/>
      </w:r>
      <w:r>
        <w:rPr>
          <w:noProof/>
        </w:rPr>
        <w:fldChar w:fldCharType="begin"/>
      </w:r>
      <w:r>
        <w:rPr>
          <w:noProof/>
        </w:rPr>
        <w:instrText xml:space="preserve"> PAGEREF _Toc338703787 \h </w:instrText>
      </w:r>
      <w:r>
        <w:rPr>
          <w:noProof/>
        </w:rPr>
      </w:r>
      <w:r>
        <w:rPr>
          <w:noProof/>
        </w:rPr>
        <w:fldChar w:fldCharType="separate"/>
      </w:r>
      <w:r>
        <w:rPr>
          <w:noProof/>
        </w:rPr>
        <w:t>20</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8. Some of the major lakes of the CLFN Traditional Territory. Source: Google Earth.</w:t>
      </w:r>
      <w:r>
        <w:rPr>
          <w:noProof/>
        </w:rPr>
        <w:tab/>
      </w:r>
      <w:r>
        <w:rPr>
          <w:noProof/>
        </w:rPr>
        <w:fldChar w:fldCharType="begin"/>
      </w:r>
      <w:r>
        <w:rPr>
          <w:noProof/>
        </w:rPr>
        <w:instrText xml:space="preserve"> PAGEREF _Toc338703788 \h </w:instrText>
      </w:r>
      <w:r>
        <w:rPr>
          <w:noProof/>
        </w:rPr>
      </w:r>
      <w:r>
        <w:rPr>
          <w:noProof/>
        </w:rPr>
        <w:fldChar w:fldCharType="separate"/>
      </w:r>
      <w:r>
        <w:rPr>
          <w:noProof/>
        </w:rPr>
        <w:t>21</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9. Characteristics of selected major lakes in the Cold Lake Region. Source: Atlas of Alberta Lakes.</w:t>
      </w:r>
      <w:r>
        <w:rPr>
          <w:noProof/>
        </w:rPr>
        <w:tab/>
      </w:r>
      <w:r>
        <w:rPr>
          <w:noProof/>
        </w:rPr>
        <w:fldChar w:fldCharType="begin"/>
      </w:r>
      <w:r>
        <w:rPr>
          <w:noProof/>
        </w:rPr>
        <w:instrText xml:space="preserve"> PAGEREF _Toc338703789 \h </w:instrText>
      </w:r>
      <w:r>
        <w:rPr>
          <w:noProof/>
        </w:rPr>
      </w:r>
      <w:r>
        <w:rPr>
          <w:noProof/>
        </w:rPr>
        <w:fldChar w:fldCharType="separate"/>
      </w:r>
      <w:r>
        <w:rPr>
          <w:noProof/>
        </w:rPr>
        <w:t>21</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 xml:space="preserve">Figure 10. Temporal changes in precipitation and flow of Beaver River into Cold Lake. </w:t>
      </w:r>
      <w:r w:rsidRPr="00CE438D">
        <w:rPr>
          <w:noProof/>
          <w:lang w:val="en-US"/>
        </w:rPr>
        <w:t>Source: Cold Lake – Beaver River Surface Water Quality State of the Basin Report, 2006.</w:t>
      </w:r>
      <w:r>
        <w:rPr>
          <w:noProof/>
        </w:rPr>
        <w:tab/>
      </w:r>
      <w:r>
        <w:rPr>
          <w:noProof/>
        </w:rPr>
        <w:fldChar w:fldCharType="begin"/>
      </w:r>
      <w:r>
        <w:rPr>
          <w:noProof/>
        </w:rPr>
        <w:instrText xml:space="preserve"> PAGEREF _Toc338703790 \h </w:instrText>
      </w:r>
      <w:r>
        <w:rPr>
          <w:noProof/>
        </w:rPr>
      </w:r>
      <w:r>
        <w:rPr>
          <w:noProof/>
        </w:rPr>
        <w:fldChar w:fldCharType="separate"/>
      </w:r>
      <w:r>
        <w:rPr>
          <w:noProof/>
        </w:rPr>
        <w:t>22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 xml:space="preserve">Figure 11. Average annual precipitation, temperature at Cold Lake. </w:t>
      </w:r>
      <w:r w:rsidRPr="00CE438D">
        <w:rPr>
          <w:noProof/>
          <w:lang w:val="en-US"/>
        </w:rPr>
        <w:t>Source: Cold Lake–Beaver River Surface Water Quality State of the Basin Report, 2006.</w:t>
      </w:r>
      <w:r>
        <w:rPr>
          <w:noProof/>
        </w:rPr>
        <w:tab/>
      </w:r>
      <w:r>
        <w:rPr>
          <w:noProof/>
        </w:rPr>
        <w:fldChar w:fldCharType="begin"/>
      </w:r>
      <w:r>
        <w:rPr>
          <w:noProof/>
        </w:rPr>
        <w:instrText xml:space="preserve"> PAGEREF _Toc338703791 \h </w:instrText>
      </w:r>
      <w:r>
        <w:rPr>
          <w:noProof/>
        </w:rPr>
      </w:r>
      <w:r>
        <w:rPr>
          <w:noProof/>
        </w:rPr>
        <w:fldChar w:fldCharType="separate"/>
      </w:r>
      <w:r>
        <w:rPr>
          <w:noProof/>
        </w:rPr>
        <w:t>22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12. The natural disturbance regimes of the CLFN SA.</w:t>
      </w:r>
      <w:r>
        <w:rPr>
          <w:noProof/>
        </w:rPr>
        <w:tab/>
      </w:r>
      <w:r>
        <w:rPr>
          <w:noProof/>
        </w:rPr>
        <w:fldChar w:fldCharType="begin"/>
      </w:r>
      <w:r>
        <w:rPr>
          <w:noProof/>
        </w:rPr>
        <w:instrText xml:space="preserve"> PAGEREF _Toc338703792 \h </w:instrText>
      </w:r>
      <w:r>
        <w:rPr>
          <w:noProof/>
        </w:rPr>
      </w:r>
      <w:r>
        <w:rPr>
          <w:noProof/>
        </w:rPr>
        <w:fldChar w:fldCharType="separate"/>
      </w:r>
      <w:r>
        <w:rPr>
          <w:noProof/>
        </w:rPr>
        <w:t>23</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13. Annual area burned in Alberta, illustrating episodic nature of large fire events. Source: SRD Historical Fire Database.</w:t>
      </w:r>
      <w:r>
        <w:rPr>
          <w:noProof/>
        </w:rPr>
        <w:tab/>
      </w:r>
      <w:r>
        <w:rPr>
          <w:noProof/>
        </w:rPr>
        <w:fldChar w:fldCharType="begin"/>
      </w:r>
      <w:r>
        <w:rPr>
          <w:noProof/>
        </w:rPr>
        <w:instrText xml:space="preserve"> PAGEREF _Toc338703793 \h </w:instrText>
      </w:r>
      <w:r>
        <w:rPr>
          <w:noProof/>
        </w:rPr>
      </w:r>
      <w:r>
        <w:rPr>
          <w:noProof/>
        </w:rPr>
        <w:fldChar w:fldCharType="separate"/>
      </w:r>
      <w:r>
        <w:rPr>
          <w:noProof/>
        </w:rPr>
        <w:t>23</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14. Cumulative area burned in Alberta and distribution of large fire events within CLFN SA. Source: SRD Historical Fire Database.</w:t>
      </w:r>
      <w:r>
        <w:rPr>
          <w:noProof/>
        </w:rPr>
        <w:tab/>
      </w:r>
      <w:r>
        <w:rPr>
          <w:noProof/>
        </w:rPr>
        <w:fldChar w:fldCharType="begin"/>
      </w:r>
      <w:r>
        <w:rPr>
          <w:noProof/>
        </w:rPr>
        <w:instrText xml:space="preserve"> PAGEREF _Toc338703794 \h </w:instrText>
      </w:r>
      <w:r>
        <w:rPr>
          <w:noProof/>
        </w:rPr>
      </w:r>
      <w:r>
        <w:rPr>
          <w:noProof/>
        </w:rPr>
        <w:fldChar w:fldCharType="separate"/>
      </w:r>
      <w:r>
        <w:rPr>
          <w:noProof/>
        </w:rPr>
        <w:t>24</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15. Pre-Industrial landscape composition of CLFN SA.</w:t>
      </w:r>
      <w:r>
        <w:rPr>
          <w:noProof/>
        </w:rPr>
        <w:tab/>
      </w:r>
      <w:r>
        <w:rPr>
          <w:noProof/>
        </w:rPr>
        <w:fldChar w:fldCharType="begin"/>
      </w:r>
      <w:r>
        <w:rPr>
          <w:noProof/>
        </w:rPr>
        <w:instrText xml:space="preserve"> PAGEREF _Toc338703795 \h </w:instrText>
      </w:r>
      <w:r>
        <w:rPr>
          <w:noProof/>
        </w:rPr>
      </w:r>
      <w:r>
        <w:rPr>
          <w:noProof/>
        </w:rPr>
        <w:fldChar w:fldCharType="separate"/>
      </w:r>
      <w:r>
        <w:rPr>
          <w:noProof/>
        </w:rPr>
        <w:t>25</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16. Initial forest age class structure of different forest types within CLFN SA.</w:t>
      </w:r>
      <w:r>
        <w:rPr>
          <w:noProof/>
        </w:rPr>
        <w:tab/>
      </w:r>
      <w:r>
        <w:rPr>
          <w:noProof/>
        </w:rPr>
        <w:fldChar w:fldCharType="begin"/>
      </w:r>
      <w:r>
        <w:rPr>
          <w:noProof/>
        </w:rPr>
        <w:instrText xml:space="preserve"> PAGEREF _Toc338703796 \h </w:instrText>
      </w:r>
      <w:r>
        <w:rPr>
          <w:noProof/>
        </w:rPr>
      </w:r>
      <w:r>
        <w:rPr>
          <w:noProof/>
        </w:rPr>
        <w:fldChar w:fldCharType="separate"/>
      </w:r>
      <w:r>
        <w:rPr>
          <w:noProof/>
        </w:rPr>
        <w:t>26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17. Initial forest age class structure of combined forest types within CLFN SA.</w:t>
      </w:r>
      <w:r>
        <w:rPr>
          <w:noProof/>
        </w:rPr>
        <w:tab/>
      </w:r>
      <w:r>
        <w:rPr>
          <w:noProof/>
        </w:rPr>
        <w:fldChar w:fldCharType="begin"/>
      </w:r>
      <w:r>
        <w:rPr>
          <w:noProof/>
        </w:rPr>
        <w:instrText xml:space="preserve"> PAGEREF _Toc338703797 \h </w:instrText>
      </w:r>
      <w:r>
        <w:rPr>
          <w:noProof/>
        </w:rPr>
      </w:r>
      <w:r>
        <w:rPr>
          <w:noProof/>
        </w:rPr>
        <w:fldChar w:fldCharType="separate"/>
      </w:r>
      <w:r>
        <w:rPr>
          <w:noProof/>
        </w:rPr>
        <w:t>26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18. Generalized sequence of arrival and magnitude of land-uses in the CLFN SA.</w:t>
      </w:r>
      <w:r>
        <w:rPr>
          <w:noProof/>
        </w:rPr>
        <w:tab/>
      </w:r>
      <w:r>
        <w:rPr>
          <w:noProof/>
        </w:rPr>
        <w:fldChar w:fldCharType="begin"/>
      </w:r>
      <w:r>
        <w:rPr>
          <w:noProof/>
        </w:rPr>
        <w:instrText xml:space="preserve"> PAGEREF _Toc338703798 \h </w:instrText>
      </w:r>
      <w:r>
        <w:rPr>
          <w:noProof/>
        </w:rPr>
      </w:r>
      <w:r>
        <w:rPr>
          <w:noProof/>
        </w:rPr>
        <w:fldChar w:fldCharType="separate"/>
      </w:r>
      <w:r>
        <w:rPr>
          <w:noProof/>
        </w:rPr>
        <w:t>3</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19. The simulated historical growth of the energy sector on CLFN using CLFN ALCES. Historical trend reveals the incremental and additive transformation of a landscape where projects are being considered one by one.</w:t>
      </w:r>
      <w:r>
        <w:rPr>
          <w:noProof/>
        </w:rPr>
        <w:tab/>
      </w:r>
      <w:r>
        <w:rPr>
          <w:noProof/>
        </w:rPr>
        <w:fldChar w:fldCharType="begin"/>
      </w:r>
      <w:r>
        <w:rPr>
          <w:noProof/>
        </w:rPr>
        <w:instrText xml:space="preserve"> PAGEREF _Toc338703799 \h </w:instrText>
      </w:r>
      <w:r>
        <w:rPr>
          <w:noProof/>
        </w:rPr>
      </w:r>
      <w:r>
        <w:rPr>
          <w:noProof/>
        </w:rPr>
        <w:fldChar w:fldCharType="separate"/>
      </w:r>
      <w:r>
        <w:rPr>
          <w:noProof/>
        </w:rPr>
        <w:t>4</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20. The cumulative effect of many consecutive small additions of land-use footprint lead invariably to a fundamentally transformed landscape.</w:t>
      </w:r>
      <w:r>
        <w:rPr>
          <w:noProof/>
        </w:rPr>
        <w:tab/>
      </w:r>
      <w:r>
        <w:rPr>
          <w:noProof/>
        </w:rPr>
        <w:fldChar w:fldCharType="begin"/>
      </w:r>
      <w:r>
        <w:rPr>
          <w:noProof/>
        </w:rPr>
        <w:instrText xml:space="preserve"> PAGEREF _Toc338703800 \h </w:instrText>
      </w:r>
      <w:r>
        <w:rPr>
          <w:noProof/>
        </w:rPr>
      </w:r>
      <w:r>
        <w:rPr>
          <w:noProof/>
        </w:rPr>
        <w:fldChar w:fldCharType="separate"/>
      </w:r>
      <w:r>
        <w:rPr>
          <w:noProof/>
        </w:rPr>
        <w:t>4</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21. Key differences between the typical “project by project” EIA approach and a comprehensive cumulative effects assessment.</w:t>
      </w:r>
      <w:r>
        <w:rPr>
          <w:noProof/>
        </w:rPr>
        <w:tab/>
      </w:r>
      <w:r>
        <w:rPr>
          <w:noProof/>
        </w:rPr>
        <w:fldChar w:fldCharType="begin"/>
      </w:r>
      <w:r>
        <w:rPr>
          <w:noProof/>
        </w:rPr>
        <w:instrText xml:space="preserve"> PAGEREF _Toc338703801 \h </w:instrText>
      </w:r>
      <w:r>
        <w:rPr>
          <w:noProof/>
        </w:rPr>
      </w:r>
      <w:r>
        <w:rPr>
          <w:noProof/>
        </w:rPr>
        <w:fldChar w:fldCharType="separate"/>
      </w:r>
      <w:r>
        <w:rPr>
          <w:noProof/>
        </w:rPr>
        <w:t>5</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lastRenderedPageBreak/>
        <w:t>Figure 22. The conclusion of EIA’s adopting a “project by project” approach is an incomplete conversation about both the benefits and liabilities that attend land-use.</w:t>
      </w:r>
      <w:r>
        <w:rPr>
          <w:noProof/>
        </w:rPr>
        <w:tab/>
      </w:r>
      <w:r>
        <w:rPr>
          <w:noProof/>
        </w:rPr>
        <w:fldChar w:fldCharType="begin"/>
      </w:r>
      <w:r>
        <w:rPr>
          <w:noProof/>
        </w:rPr>
        <w:instrText xml:space="preserve"> PAGEREF _Toc338703802 \h </w:instrText>
      </w:r>
      <w:r>
        <w:rPr>
          <w:noProof/>
        </w:rPr>
      </w:r>
      <w:r>
        <w:rPr>
          <w:noProof/>
        </w:rPr>
        <w:fldChar w:fldCharType="separate"/>
      </w:r>
      <w:r>
        <w:rPr>
          <w:noProof/>
        </w:rPr>
        <w:t>5</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 xml:space="preserve">Figure 23. </w:t>
      </w:r>
      <w:r w:rsidRPr="00CE438D">
        <w:rPr>
          <w:rFonts w:eastAsiaTheme="minorHAnsi"/>
          <w:noProof/>
        </w:rPr>
        <w:t>Schematic summarizing ALCES model inputs and outputs</w:t>
      </w:r>
      <w:r w:rsidRPr="00CE438D">
        <w:rPr>
          <w:rFonts w:ascii="Arial" w:eastAsiaTheme="minorHAnsi" w:hAnsi="Arial" w:cs="Arial"/>
          <w:noProof/>
        </w:rPr>
        <w:t>.</w:t>
      </w:r>
      <w:r>
        <w:rPr>
          <w:noProof/>
        </w:rPr>
        <w:tab/>
      </w:r>
      <w:r>
        <w:rPr>
          <w:noProof/>
        </w:rPr>
        <w:fldChar w:fldCharType="begin"/>
      </w:r>
      <w:r>
        <w:rPr>
          <w:noProof/>
        </w:rPr>
        <w:instrText xml:space="preserve"> PAGEREF _Toc338703803 \h </w:instrText>
      </w:r>
      <w:r>
        <w:rPr>
          <w:noProof/>
        </w:rPr>
      </w:r>
      <w:r>
        <w:rPr>
          <w:noProof/>
        </w:rPr>
        <w:fldChar w:fldCharType="separate"/>
      </w:r>
      <w:r>
        <w:rPr>
          <w:noProof/>
        </w:rPr>
        <w:t>8</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24.  Underlying structure of the CLFN SA ALCES dynamic landscape model.</w:t>
      </w:r>
      <w:r>
        <w:rPr>
          <w:noProof/>
        </w:rPr>
        <w:tab/>
      </w:r>
      <w:r>
        <w:rPr>
          <w:noProof/>
        </w:rPr>
        <w:fldChar w:fldCharType="begin"/>
      </w:r>
      <w:r>
        <w:rPr>
          <w:noProof/>
        </w:rPr>
        <w:instrText xml:space="preserve"> PAGEREF _Toc338703804 \h </w:instrText>
      </w:r>
      <w:r>
        <w:rPr>
          <w:noProof/>
        </w:rPr>
      </w:r>
      <w:r>
        <w:rPr>
          <w:noProof/>
        </w:rPr>
        <w:fldChar w:fldCharType="separate"/>
      </w:r>
      <w:r>
        <w:rPr>
          <w:noProof/>
        </w:rPr>
        <w:t>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25. Modular structure of the CLFN ALCES simulator.</w:t>
      </w:r>
      <w:r>
        <w:rPr>
          <w:noProof/>
        </w:rPr>
        <w:tab/>
      </w:r>
      <w:r>
        <w:rPr>
          <w:noProof/>
        </w:rPr>
        <w:fldChar w:fldCharType="begin"/>
      </w:r>
      <w:r>
        <w:rPr>
          <w:noProof/>
        </w:rPr>
        <w:instrText xml:space="preserve"> PAGEREF _Toc338703805 \h </w:instrText>
      </w:r>
      <w:r>
        <w:rPr>
          <w:noProof/>
        </w:rPr>
      </w:r>
      <w:r>
        <w:rPr>
          <w:noProof/>
        </w:rPr>
        <w:fldChar w:fldCharType="separate"/>
      </w:r>
      <w:r>
        <w:rPr>
          <w:noProof/>
        </w:rPr>
        <w:t>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26. Example of ALCES Mapper output for time series of well density on CLFN SA.</w:t>
      </w:r>
      <w:r>
        <w:rPr>
          <w:noProof/>
        </w:rPr>
        <w:tab/>
      </w:r>
      <w:r>
        <w:rPr>
          <w:noProof/>
        </w:rPr>
        <w:fldChar w:fldCharType="begin"/>
      </w:r>
      <w:r>
        <w:rPr>
          <w:noProof/>
        </w:rPr>
        <w:instrText xml:space="preserve"> PAGEREF _Toc338703806 \h </w:instrText>
      </w:r>
      <w:r>
        <w:rPr>
          <w:noProof/>
        </w:rPr>
      </w:r>
      <w:r>
        <w:rPr>
          <w:noProof/>
        </w:rPr>
        <w:fldChar w:fldCharType="separate"/>
      </w:r>
      <w:r>
        <w:rPr>
          <w:noProof/>
        </w:rPr>
        <w:t>11</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27. Spatial inclusionary masks used for expansion of agriculture, rural residential, settlements and hydrocarbon footprints in CLFN SA.</w:t>
      </w:r>
      <w:r>
        <w:rPr>
          <w:noProof/>
        </w:rPr>
        <w:tab/>
      </w:r>
      <w:r>
        <w:rPr>
          <w:noProof/>
        </w:rPr>
        <w:fldChar w:fldCharType="begin"/>
      </w:r>
      <w:r>
        <w:rPr>
          <w:noProof/>
        </w:rPr>
        <w:instrText xml:space="preserve"> PAGEREF _Toc338703807 \h </w:instrText>
      </w:r>
      <w:r>
        <w:rPr>
          <w:noProof/>
        </w:rPr>
      </w:r>
      <w:r>
        <w:rPr>
          <w:noProof/>
        </w:rPr>
        <w:fldChar w:fldCharType="separate"/>
      </w:r>
      <w:r>
        <w:rPr>
          <w:noProof/>
        </w:rPr>
        <w:t>12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28. The overlapping land-uses that are collectively shaping the CLFN SA.</w:t>
      </w:r>
      <w:r>
        <w:rPr>
          <w:noProof/>
        </w:rPr>
        <w:tab/>
      </w:r>
      <w:r>
        <w:rPr>
          <w:noProof/>
        </w:rPr>
        <w:fldChar w:fldCharType="begin"/>
      </w:r>
      <w:r>
        <w:rPr>
          <w:noProof/>
        </w:rPr>
        <w:instrText xml:space="preserve"> PAGEREF _Toc338703808 \h </w:instrText>
      </w:r>
      <w:r>
        <w:rPr>
          <w:noProof/>
        </w:rPr>
      </w:r>
      <w:r>
        <w:rPr>
          <w:noProof/>
        </w:rPr>
        <w:fldChar w:fldCharType="separate"/>
      </w:r>
      <w:r>
        <w:rPr>
          <w:noProof/>
        </w:rPr>
        <w:t>13</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29. Current landscape composition of the CLFN SA.</w:t>
      </w:r>
      <w:r>
        <w:rPr>
          <w:noProof/>
        </w:rPr>
        <w:tab/>
      </w:r>
      <w:r>
        <w:rPr>
          <w:noProof/>
        </w:rPr>
        <w:fldChar w:fldCharType="begin"/>
      </w:r>
      <w:r>
        <w:rPr>
          <w:noProof/>
        </w:rPr>
        <w:instrText xml:space="preserve"> PAGEREF _Toc338703809 \h </w:instrText>
      </w:r>
      <w:r>
        <w:rPr>
          <w:noProof/>
        </w:rPr>
      </w:r>
      <w:r>
        <w:rPr>
          <w:noProof/>
        </w:rPr>
        <w:fldChar w:fldCharType="separate"/>
      </w:r>
      <w:r>
        <w:rPr>
          <w:noProof/>
        </w:rPr>
        <w:t>14</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30. Current land-use edge of the CLFN SA.</w:t>
      </w:r>
      <w:r>
        <w:rPr>
          <w:noProof/>
        </w:rPr>
        <w:tab/>
      </w:r>
      <w:r>
        <w:rPr>
          <w:noProof/>
        </w:rPr>
        <w:fldChar w:fldCharType="begin"/>
      </w:r>
      <w:r>
        <w:rPr>
          <w:noProof/>
        </w:rPr>
        <w:instrText xml:space="preserve"> PAGEREF _Toc338703810 \h </w:instrText>
      </w:r>
      <w:r>
        <w:rPr>
          <w:noProof/>
        </w:rPr>
      </w:r>
      <w:r>
        <w:rPr>
          <w:noProof/>
        </w:rPr>
        <w:fldChar w:fldCharType="separate"/>
      </w:r>
      <w:r>
        <w:rPr>
          <w:noProof/>
        </w:rPr>
        <w:t>14</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31. A few key descriptions of the peoples of Cold Lake First Nations.</w:t>
      </w:r>
      <w:r>
        <w:rPr>
          <w:noProof/>
        </w:rPr>
        <w:tab/>
      </w:r>
      <w:r>
        <w:rPr>
          <w:noProof/>
        </w:rPr>
        <w:fldChar w:fldCharType="begin"/>
      </w:r>
      <w:r>
        <w:rPr>
          <w:noProof/>
        </w:rPr>
        <w:instrText xml:space="preserve"> PAGEREF _Toc338703811 \h </w:instrText>
      </w:r>
      <w:r>
        <w:rPr>
          <w:noProof/>
        </w:rPr>
      </w:r>
      <w:r>
        <w:rPr>
          <w:noProof/>
        </w:rPr>
        <w:fldChar w:fldCharType="separate"/>
      </w:r>
      <w:r>
        <w:rPr>
          <w:noProof/>
        </w:rPr>
        <w:t>17</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32. Earliest evidence of First Nations in northeast Alberta.</w:t>
      </w:r>
      <w:r>
        <w:rPr>
          <w:noProof/>
        </w:rPr>
        <w:tab/>
      </w:r>
      <w:r>
        <w:rPr>
          <w:noProof/>
        </w:rPr>
        <w:fldChar w:fldCharType="begin"/>
      </w:r>
      <w:r>
        <w:rPr>
          <w:noProof/>
        </w:rPr>
        <w:instrText xml:space="preserve"> PAGEREF _Toc338703812 \h </w:instrText>
      </w:r>
      <w:r>
        <w:rPr>
          <w:noProof/>
        </w:rPr>
      </w:r>
      <w:r>
        <w:rPr>
          <w:noProof/>
        </w:rPr>
        <w:fldChar w:fldCharType="separate"/>
      </w:r>
      <w:r>
        <w:rPr>
          <w:noProof/>
        </w:rPr>
        <w:t>17</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33. Examples of traditional activities of CLFN.</w:t>
      </w:r>
      <w:r>
        <w:rPr>
          <w:noProof/>
        </w:rPr>
        <w:tab/>
      </w:r>
      <w:r>
        <w:rPr>
          <w:noProof/>
        </w:rPr>
        <w:fldChar w:fldCharType="begin"/>
      </w:r>
      <w:r>
        <w:rPr>
          <w:noProof/>
        </w:rPr>
        <w:instrText xml:space="preserve"> PAGEREF _Toc338703813 \h </w:instrText>
      </w:r>
      <w:r>
        <w:rPr>
          <w:noProof/>
        </w:rPr>
      </w:r>
      <w:r>
        <w:rPr>
          <w:noProof/>
        </w:rPr>
        <w:fldChar w:fldCharType="separate"/>
      </w:r>
      <w:r>
        <w:rPr>
          <w:noProof/>
        </w:rPr>
        <w:t>18</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34.  Examples of the geography of traditional activities of CLFN traditional lands. Source: Cold Lake First Nations Traditional Knowledge Study, 2011.</w:t>
      </w:r>
      <w:r>
        <w:rPr>
          <w:noProof/>
        </w:rPr>
        <w:tab/>
      </w:r>
      <w:r>
        <w:rPr>
          <w:noProof/>
        </w:rPr>
        <w:fldChar w:fldCharType="begin"/>
      </w:r>
      <w:r>
        <w:rPr>
          <w:noProof/>
        </w:rPr>
        <w:instrText xml:space="preserve"> PAGEREF _Toc338703814 \h </w:instrText>
      </w:r>
      <w:r>
        <w:rPr>
          <w:noProof/>
        </w:rPr>
      </w:r>
      <w:r>
        <w:rPr>
          <w:noProof/>
        </w:rPr>
        <w:fldChar w:fldCharType="separate"/>
      </w:r>
      <w:r>
        <w:rPr>
          <w:noProof/>
        </w:rPr>
        <w:t>18</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35. Generalized map, for illustration only, showing possible movements of CLFN bands in response to spatial-temporal variation in fires and food abundance.</w:t>
      </w:r>
      <w:r>
        <w:rPr>
          <w:noProof/>
        </w:rPr>
        <w:tab/>
      </w:r>
      <w:r>
        <w:rPr>
          <w:noProof/>
        </w:rPr>
        <w:fldChar w:fldCharType="begin"/>
      </w:r>
      <w:r>
        <w:rPr>
          <w:noProof/>
        </w:rPr>
        <w:instrText xml:space="preserve"> PAGEREF _Toc338703815 \h </w:instrText>
      </w:r>
      <w:r>
        <w:rPr>
          <w:noProof/>
        </w:rPr>
      </w:r>
      <w:r>
        <w:rPr>
          <w:noProof/>
        </w:rPr>
        <w:fldChar w:fldCharType="separate"/>
      </w:r>
      <w:r>
        <w:rPr>
          <w:noProof/>
        </w:rPr>
        <w:t>19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36. Spatial constraint of traditional activities of CLFN from CLAWR to the north and agriculture to the south.</w:t>
      </w:r>
      <w:r>
        <w:rPr>
          <w:noProof/>
        </w:rPr>
        <w:tab/>
      </w:r>
      <w:r>
        <w:rPr>
          <w:noProof/>
        </w:rPr>
        <w:fldChar w:fldCharType="begin"/>
      </w:r>
      <w:r>
        <w:rPr>
          <w:noProof/>
        </w:rPr>
        <w:instrText xml:space="preserve"> PAGEREF _Toc338703816 \h </w:instrText>
      </w:r>
      <w:r>
        <w:rPr>
          <w:noProof/>
        </w:rPr>
      </w:r>
      <w:r>
        <w:rPr>
          <w:noProof/>
        </w:rPr>
        <w:fldChar w:fldCharType="separate"/>
      </w:r>
      <w:r>
        <w:rPr>
          <w:noProof/>
        </w:rPr>
        <w:t>19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37. Historical network of traditional features and transportation networks of the traditional lands of CLFN. Source: Cold Lake First Nations Traditional Knowledge Study, 2011.</w:t>
      </w:r>
      <w:r>
        <w:rPr>
          <w:noProof/>
        </w:rPr>
        <w:tab/>
      </w:r>
      <w:r>
        <w:rPr>
          <w:noProof/>
        </w:rPr>
        <w:fldChar w:fldCharType="begin"/>
      </w:r>
      <w:r>
        <w:rPr>
          <w:noProof/>
        </w:rPr>
        <w:instrText xml:space="preserve"> PAGEREF _Toc338703817 \h </w:instrText>
      </w:r>
      <w:r>
        <w:rPr>
          <w:noProof/>
        </w:rPr>
      </w:r>
      <w:r>
        <w:rPr>
          <w:noProof/>
        </w:rPr>
        <w:fldChar w:fldCharType="separate"/>
      </w:r>
      <w:r>
        <w:rPr>
          <w:noProof/>
        </w:rPr>
        <w:t>20</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38.  Distribution of traditional activities near Cold Lake. Source: Cold Lake First Nations Traditional Knowledge Study, 2011.</w:t>
      </w:r>
      <w:r>
        <w:rPr>
          <w:noProof/>
        </w:rPr>
        <w:tab/>
      </w:r>
      <w:r>
        <w:rPr>
          <w:noProof/>
        </w:rPr>
        <w:fldChar w:fldCharType="begin"/>
      </w:r>
      <w:r>
        <w:rPr>
          <w:noProof/>
        </w:rPr>
        <w:instrText xml:space="preserve"> PAGEREF _Toc338703818 \h </w:instrText>
      </w:r>
      <w:r>
        <w:rPr>
          <w:noProof/>
        </w:rPr>
      </w:r>
      <w:r>
        <w:rPr>
          <w:noProof/>
        </w:rPr>
        <w:fldChar w:fldCharType="separate"/>
      </w:r>
      <w:r>
        <w:rPr>
          <w:noProof/>
        </w:rPr>
        <w:t>21</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39. Distribution of traditional activities near Primrose Lake. Source: Cold Lake First Nations Traditional Knowledge Study, 2011.</w:t>
      </w:r>
      <w:r>
        <w:rPr>
          <w:noProof/>
        </w:rPr>
        <w:tab/>
      </w:r>
      <w:r>
        <w:rPr>
          <w:noProof/>
        </w:rPr>
        <w:fldChar w:fldCharType="begin"/>
      </w:r>
      <w:r>
        <w:rPr>
          <w:noProof/>
        </w:rPr>
        <w:instrText xml:space="preserve"> PAGEREF _Toc338703819 \h </w:instrText>
      </w:r>
      <w:r>
        <w:rPr>
          <w:noProof/>
        </w:rPr>
      </w:r>
      <w:r>
        <w:rPr>
          <w:noProof/>
        </w:rPr>
        <w:fldChar w:fldCharType="separate"/>
      </w:r>
      <w:r>
        <w:rPr>
          <w:noProof/>
        </w:rPr>
        <w:t>21</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40. Distribution and metrics of CLFN cultural features.</w:t>
      </w:r>
      <w:r>
        <w:rPr>
          <w:noProof/>
        </w:rPr>
        <w:tab/>
      </w:r>
      <w:r>
        <w:rPr>
          <w:noProof/>
        </w:rPr>
        <w:fldChar w:fldCharType="begin"/>
      </w:r>
      <w:r>
        <w:rPr>
          <w:noProof/>
        </w:rPr>
        <w:instrText xml:space="preserve"> PAGEREF _Toc338703820 \h </w:instrText>
      </w:r>
      <w:r>
        <w:rPr>
          <w:noProof/>
        </w:rPr>
      </w:r>
      <w:r>
        <w:rPr>
          <w:noProof/>
        </w:rPr>
        <w:fldChar w:fldCharType="separate"/>
      </w:r>
      <w:r>
        <w:rPr>
          <w:noProof/>
        </w:rPr>
        <w:t>22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41. Buffered traditional features (cultural sites and transportation networks) illustrating locations of focus for traditional CLFN SA activities.</w:t>
      </w:r>
      <w:r>
        <w:rPr>
          <w:noProof/>
        </w:rPr>
        <w:tab/>
      </w:r>
      <w:r>
        <w:rPr>
          <w:noProof/>
        </w:rPr>
        <w:fldChar w:fldCharType="begin"/>
      </w:r>
      <w:r>
        <w:rPr>
          <w:noProof/>
        </w:rPr>
        <w:instrText xml:space="preserve"> PAGEREF _Toc338703821 \h </w:instrText>
      </w:r>
      <w:r>
        <w:rPr>
          <w:noProof/>
        </w:rPr>
      </w:r>
      <w:r>
        <w:rPr>
          <w:noProof/>
        </w:rPr>
        <w:fldChar w:fldCharType="separate"/>
      </w:r>
      <w:r>
        <w:rPr>
          <w:noProof/>
        </w:rPr>
        <w:t>22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42. Network of existing reserves within the CLFN SA.</w:t>
      </w:r>
      <w:r>
        <w:rPr>
          <w:noProof/>
        </w:rPr>
        <w:tab/>
      </w:r>
      <w:r>
        <w:rPr>
          <w:noProof/>
        </w:rPr>
        <w:fldChar w:fldCharType="begin"/>
      </w:r>
      <w:r>
        <w:rPr>
          <w:noProof/>
        </w:rPr>
        <w:instrText xml:space="preserve"> PAGEREF _Toc338703822 \h </w:instrText>
      </w:r>
      <w:r>
        <w:rPr>
          <w:noProof/>
        </w:rPr>
      </w:r>
      <w:r>
        <w:rPr>
          <w:noProof/>
        </w:rPr>
        <w:fldChar w:fldCharType="separate"/>
      </w:r>
      <w:r>
        <w:rPr>
          <w:noProof/>
        </w:rPr>
        <w:t>23</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43. Google images of reserve network of CLFN SA.</w:t>
      </w:r>
      <w:r>
        <w:rPr>
          <w:noProof/>
        </w:rPr>
        <w:tab/>
      </w:r>
      <w:r>
        <w:rPr>
          <w:noProof/>
        </w:rPr>
        <w:fldChar w:fldCharType="begin"/>
      </w:r>
      <w:r>
        <w:rPr>
          <w:noProof/>
        </w:rPr>
        <w:instrText xml:space="preserve"> PAGEREF _Toc338703823 \h </w:instrText>
      </w:r>
      <w:r>
        <w:rPr>
          <w:noProof/>
        </w:rPr>
      </w:r>
      <w:r>
        <w:rPr>
          <w:noProof/>
        </w:rPr>
        <w:fldChar w:fldCharType="separate"/>
      </w:r>
      <w:r>
        <w:rPr>
          <w:noProof/>
        </w:rPr>
        <w:t>24</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44. Settlements in CLFN and summary population values for CLFN SA.</w:t>
      </w:r>
      <w:r>
        <w:rPr>
          <w:noProof/>
        </w:rPr>
        <w:tab/>
      </w:r>
      <w:r>
        <w:rPr>
          <w:noProof/>
        </w:rPr>
        <w:fldChar w:fldCharType="begin"/>
      </w:r>
      <w:r>
        <w:rPr>
          <w:noProof/>
        </w:rPr>
        <w:instrText xml:space="preserve"> PAGEREF _Toc338703824 \h </w:instrText>
      </w:r>
      <w:r>
        <w:rPr>
          <w:noProof/>
        </w:rPr>
      </w:r>
      <w:r>
        <w:rPr>
          <w:noProof/>
        </w:rPr>
        <w:fldChar w:fldCharType="separate"/>
      </w:r>
      <w:r>
        <w:rPr>
          <w:noProof/>
        </w:rPr>
        <w:t>25</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45. Population density of CLFN SA relative to Alberta. Source: ALCES Historic Alberta Land-use Reconstruction Project, 2012.</w:t>
      </w:r>
      <w:r>
        <w:rPr>
          <w:noProof/>
        </w:rPr>
        <w:tab/>
      </w:r>
      <w:r>
        <w:rPr>
          <w:noProof/>
        </w:rPr>
        <w:fldChar w:fldCharType="begin"/>
      </w:r>
      <w:r>
        <w:rPr>
          <w:noProof/>
        </w:rPr>
        <w:instrText xml:space="preserve"> PAGEREF _Toc338703825 \h </w:instrText>
      </w:r>
      <w:r>
        <w:rPr>
          <w:noProof/>
        </w:rPr>
      </w:r>
      <w:r>
        <w:rPr>
          <w:noProof/>
        </w:rPr>
        <w:fldChar w:fldCharType="separate"/>
      </w:r>
      <w:r>
        <w:rPr>
          <w:noProof/>
        </w:rPr>
        <w:t>26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46. Rural residential density of CLFN SA relative to Alberta. Source: ALCES Historic Alberta Land-use Reconstruction Project, 2012.</w:t>
      </w:r>
      <w:r>
        <w:rPr>
          <w:noProof/>
        </w:rPr>
        <w:tab/>
      </w:r>
      <w:r>
        <w:rPr>
          <w:noProof/>
        </w:rPr>
        <w:fldChar w:fldCharType="begin"/>
      </w:r>
      <w:r>
        <w:rPr>
          <w:noProof/>
        </w:rPr>
        <w:instrText xml:space="preserve"> PAGEREF _Toc338703826 \h </w:instrText>
      </w:r>
      <w:r>
        <w:rPr>
          <w:noProof/>
        </w:rPr>
      </w:r>
      <w:r>
        <w:rPr>
          <w:noProof/>
        </w:rPr>
        <w:fldChar w:fldCharType="separate"/>
      </w:r>
      <w:r>
        <w:rPr>
          <w:noProof/>
        </w:rPr>
        <w:t>26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47. Major non-aboriginal settlements of CLFN SA.</w:t>
      </w:r>
      <w:r>
        <w:rPr>
          <w:noProof/>
        </w:rPr>
        <w:tab/>
      </w:r>
      <w:r>
        <w:rPr>
          <w:noProof/>
        </w:rPr>
        <w:fldChar w:fldCharType="begin"/>
      </w:r>
      <w:r>
        <w:rPr>
          <w:noProof/>
        </w:rPr>
        <w:instrText xml:space="preserve"> PAGEREF _Toc338703827 \h </w:instrText>
      </w:r>
      <w:r>
        <w:rPr>
          <w:noProof/>
        </w:rPr>
      </w:r>
      <w:r>
        <w:rPr>
          <w:noProof/>
        </w:rPr>
        <w:fldChar w:fldCharType="separate"/>
      </w:r>
      <w:r>
        <w:rPr>
          <w:noProof/>
        </w:rPr>
        <w:t>27</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48. Population size and growth rates for Cold Lake and Bonnyville. Source: Statistics Canada, 2011.</w:t>
      </w:r>
      <w:r>
        <w:rPr>
          <w:noProof/>
        </w:rPr>
        <w:tab/>
      </w:r>
      <w:r>
        <w:rPr>
          <w:noProof/>
        </w:rPr>
        <w:fldChar w:fldCharType="begin"/>
      </w:r>
      <w:r>
        <w:rPr>
          <w:noProof/>
        </w:rPr>
        <w:instrText xml:space="preserve"> PAGEREF _Toc338703828 \h </w:instrText>
      </w:r>
      <w:r>
        <w:rPr>
          <w:noProof/>
        </w:rPr>
      </w:r>
      <w:r>
        <w:rPr>
          <w:noProof/>
        </w:rPr>
        <w:fldChar w:fldCharType="separate"/>
      </w:r>
      <w:r>
        <w:rPr>
          <w:noProof/>
        </w:rPr>
        <w:t>27</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lastRenderedPageBreak/>
        <w:t>Figure 49. Historic and future time series of Cold Lake population and settlement growth. Future simulations are based on average historic area growth rates (lower right) and constant growth rate of 2% (upper right).</w:t>
      </w:r>
      <w:r>
        <w:rPr>
          <w:noProof/>
        </w:rPr>
        <w:tab/>
      </w:r>
      <w:r>
        <w:rPr>
          <w:noProof/>
        </w:rPr>
        <w:fldChar w:fldCharType="begin"/>
      </w:r>
      <w:r>
        <w:rPr>
          <w:noProof/>
        </w:rPr>
        <w:instrText xml:space="preserve"> PAGEREF _Toc338703829 \h </w:instrText>
      </w:r>
      <w:r>
        <w:rPr>
          <w:noProof/>
        </w:rPr>
      </w:r>
      <w:r>
        <w:rPr>
          <w:noProof/>
        </w:rPr>
        <w:fldChar w:fldCharType="separate"/>
      </w:r>
      <w:r>
        <w:rPr>
          <w:noProof/>
        </w:rPr>
        <w:t>28</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50. Historic and future time series of Bonnyville population and settlement growth. Future simulations are based on average historic area growth rates (lower right) and constant growth rate of 2% (upper right).</w:t>
      </w:r>
      <w:r>
        <w:rPr>
          <w:noProof/>
        </w:rPr>
        <w:tab/>
      </w:r>
      <w:r>
        <w:rPr>
          <w:noProof/>
        </w:rPr>
        <w:fldChar w:fldCharType="begin"/>
      </w:r>
      <w:r>
        <w:rPr>
          <w:noProof/>
        </w:rPr>
        <w:instrText xml:space="preserve"> PAGEREF _Toc338703830 \h </w:instrText>
      </w:r>
      <w:r>
        <w:rPr>
          <w:noProof/>
        </w:rPr>
      </w:r>
      <w:r>
        <w:rPr>
          <w:noProof/>
        </w:rPr>
        <w:fldChar w:fldCharType="separate"/>
      </w:r>
      <w:r>
        <w:rPr>
          <w:noProof/>
        </w:rPr>
        <w:t>28</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51. Agricultural lands are now defining features of southern Alberta and the southern regions of the traditional lands of CLFN.</w:t>
      </w:r>
      <w:r>
        <w:rPr>
          <w:noProof/>
        </w:rPr>
        <w:tab/>
      </w:r>
      <w:r>
        <w:rPr>
          <w:noProof/>
        </w:rPr>
        <w:fldChar w:fldCharType="begin"/>
      </w:r>
      <w:r>
        <w:rPr>
          <w:noProof/>
        </w:rPr>
        <w:instrText xml:space="preserve"> PAGEREF _Toc338703831 \h </w:instrText>
      </w:r>
      <w:r>
        <w:rPr>
          <w:noProof/>
        </w:rPr>
      </w:r>
      <w:r>
        <w:rPr>
          <w:noProof/>
        </w:rPr>
        <w:fldChar w:fldCharType="separate"/>
      </w:r>
      <w:r>
        <w:rPr>
          <w:noProof/>
        </w:rPr>
        <w:t>29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52. History of development of Alberta’s cultivated crops in relation to traditional CLFN SA.</w:t>
      </w:r>
      <w:r>
        <w:rPr>
          <w:noProof/>
        </w:rPr>
        <w:tab/>
      </w:r>
      <w:r>
        <w:rPr>
          <w:noProof/>
        </w:rPr>
        <w:fldChar w:fldCharType="begin"/>
      </w:r>
      <w:r>
        <w:rPr>
          <w:noProof/>
        </w:rPr>
        <w:instrText xml:space="preserve"> PAGEREF _Toc338703832 \h </w:instrText>
      </w:r>
      <w:r>
        <w:rPr>
          <w:noProof/>
        </w:rPr>
      </w:r>
      <w:r>
        <w:rPr>
          <w:noProof/>
        </w:rPr>
        <w:fldChar w:fldCharType="separate"/>
      </w:r>
      <w:r>
        <w:rPr>
          <w:noProof/>
        </w:rPr>
        <w:t>30</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53. Current cultivated and forage cropland in CLFN SA.</w:t>
      </w:r>
      <w:r>
        <w:rPr>
          <w:noProof/>
        </w:rPr>
        <w:tab/>
      </w:r>
      <w:r>
        <w:rPr>
          <w:noProof/>
        </w:rPr>
        <w:fldChar w:fldCharType="begin"/>
      </w:r>
      <w:r>
        <w:rPr>
          <w:noProof/>
        </w:rPr>
        <w:instrText xml:space="preserve"> PAGEREF _Toc338703833 \h </w:instrText>
      </w:r>
      <w:r>
        <w:rPr>
          <w:noProof/>
        </w:rPr>
      </w:r>
      <w:r>
        <w:rPr>
          <w:noProof/>
        </w:rPr>
        <w:fldChar w:fldCharType="separate"/>
      </w:r>
      <w:r>
        <w:rPr>
          <w:noProof/>
        </w:rPr>
        <w:t>30</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 xml:space="preserve">Figure 54. Spatial distribution of croplands (shown in yellow) in the southern portion (White Area) of the CLFN SA in relation to different soil types. Source: </w:t>
      </w:r>
      <w:r w:rsidRPr="00CE438D">
        <w:rPr>
          <w:noProof/>
          <w:lang w:val="en-US"/>
        </w:rPr>
        <w:t>Canada Land Inventory; Soil Capacity Classification for Alberta; 1969; but digitized in 2000.</w:t>
      </w:r>
      <w:r>
        <w:rPr>
          <w:noProof/>
        </w:rPr>
        <w:tab/>
      </w:r>
      <w:r>
        <w:rPr>
          <w:noProof/>
        </w:rPr>
        <w:fldChar w:fldCharType="begin"/>
      </w:r>
      <w:r>
        <w:rPr>
          <w:noProof/>
        </w:rPr>
        <w:instrText xml:space="preserve"> PAGEREF _Toc338703834 \h </w:instrText>
      </w:r>
      <w:r>
        <w:rPr>
          <w:noProof/>
        </w:rPr>
      </w:r>
      <w:r>
        <w:rPr>
          <w:noProof/>
        </w:rPr>
        <w:fldChar w:fldCharType="separate"/>
      </w:r>
      <w:r>
        <w:rPr>
          <w:noProof/>
        </w:rPr>
        <w:t>31</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55. Expansion of croplands in the Cold Lake / Bonnyville region between 1988 and 2004. Source: Ryan Powers, University of Alberta.</w:t>
      </w:r>
      <w:r>
        <w:rPr>
          <w:noProof/>
        </w:rPr>
        <w:tab/>
      </w:r>
      <w:r>
        <w:rPr>
          <w:noProof/>
        </w:rPr>
        <w:fldChar w:fldCharType="begin"/>
      </w:r>
      <w:r>
        <w:rPr>
          <w:noProof/>
        </w:rPr>
        <w:instrText xml:space="preserve"> PAGEREF _Toc338703835 \h </w:instrText>
      </w:r>
      <w:r>
        <w:rPr>
          <w:noProof/>
        </w:rPr>
      </w:r>
      <w:r>
        <w:rPr>
          <w:noProof/>
        </w:rPr>
        <w:fldChar w:fldCharType="separate"/>
      </w:r>
      <w:r>
        <w:rPr>
          <w:noProof/>
        </w:rPr>
        <w:t>31</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56. Agricultural deforestation in the White Area west of CLFN SA. Source: PFRA, 2000.</w:t>
      </w:r>
      <w:r>
        <w:rPr>
          <w:noProof/>
        </w:rPr>
        <w:tab/>
      </w:r>
      <w:r>
        <w:rPr>
          <w:noProof/>
        </w:rPr>
        <w:fldChar w:fldCharType="begin"/>
      </w:r>
      <w:r>
        <w:rPr>
          <w:noProof/>
        </w:rPr>
        <w:instrText xml:space="preserve"> PAGEREF _Toc338703836 \h </w:instrText>
      </w:r>
      <w:r>
        <w:rPr>
          <w:noProof/>
        </w:rPr>
      </w:r>
      <w:r>
        <w:rPr>
          <w:noProof/>
        </w:rPr>
        <w:fldChar w:fldCharType="separate"/>
      </w:r>
      <w:r>
        <w:rPr>
          <w:noProof/>
        </w:rPr>
        <w:t>32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57. Example of agricultural deforestation in a township in the White Area west of CLFN SA. Areas in red reflect forest lands that were converted to agriculture during the period 1989 to 2000. Areas in green represent 1989 forest lands that were not converted. Source: PFRA, 2000.</w:t>
      </w:r>
      <w:r>
        <w:rPr>
          <w:noProof/>
        </w:rPr>
        <w:tab/>
      </w:r>
      <w:r>
        <w:rPr>
          <w:noProof/>
        </w:rPr>
        <w:fldChar w:fldCharType="begin"/>
      </w:r>
      <w:r>
        <w:rPr>
          <w:noProof/>
        </w:rPr>
        <w:instrText xml:space="preserve"> PAGEREF _Toc338703837 \h </w:instrText>
      </w:r>
      <w:r>
        <w:rPr>
          <w:noProof/>
        </w:rPr>
      </w:r>
      <w:r>
        <w:rPr>
          <w:noProof/>
        </w:rPr>
        <w:fldChar w:fldCharType="separate"/>
      </w:r>
      <w:r>
        <w:rPr>
          <w:noProof/>
        </w:rPr>
        <w:t>32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58. History of development of Alberta’s cattle populations in relation to CLFN SA.</w:t>
      </w:r>
      <w:r>
        <w:rPr>
          <w:noProof/>
        </w:rPr>
        <w:tab/>
      </w:r>
      <w:r>
        <w:rPr>
          <w:noProof/>
        </w:rPr>
        <w:fldChar w:fldCharType="begin"/>
      </w:r>
      <w:r>
        <w:rPr>
          <w:noProof/>
        </w:rPr>
        <w:instrText xml:space="preserve"> PAGEREF _Toc338703838 \h </w:instrText>
      </w:r>
      <w:r>
        <w:rPr>
          <w:noProof/>
        </w:rPr>
      </w:r>
      <w:r>
        <w:rPr>
          <w:noProof/>
        </w:rPr>
        <w:fldChar w:fldCharType="separate"/>
      </w:r>
      <w:r>
        <w:rPr>
          <w:noProof/>
        </w:rPr>
        <w:t>33</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59. Historical time series (1910-2010) of cattle density in CLFN SA.</w:t>
      </w:r>
      <w:r>
        <w:rPr>
          <w:noProof/>
        </w:rPr>
        <w:tab/>
      </w:r>
      <w:r>
        <w:rPr>
          <w:noProof/>
        </w:rPr>
        <w:fldChar w:fldCharType="begin"/>
      </w:r>
      <w:r>
        <w:rPr>
          <w:noProof/>
        </w:rPr>
        <w:instrText xml:space="preserve"> PAGEREF _Toc338703839 \h </w:instrText>
      </w:r>
      <w:r>
        <w:rPr>
          <w:noProof/>
        </w:rPr>
      </w:r>
      <w:r>
        <w:rPr>
          <w:noProof/>
        </w:rPr>
        <w:fldChar w:fldCharType="separate"/>
      </w:r>
      <w:r>
        <w:rPr>
          <w:noProof/>
        </w:rPr>
        <w:t>33</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60. The Cold Lake Air Weapons Range is now the largest and most extensive land-use occurring on CLFN SA.</w:t>
      </w:r>
      <w:r>
        <w:rPr>
          <w:noProof/>
        </w:rPr>
        <w:tab/>
      </w:r>
      <w:r>
        <w:rPr>
          <w:noProof/>
        </w:rPr>
        <w:fldChar w:fldCharType="begin"/>
      </w:r>
      <w:r>
        <w:rPr>
          <w:noProof/>
        </w:rPr>
        <w:instrText xml:space="preserve"> PAGEREF _Toc338703840 \h </w:instrText>
      </w:r>
      <w:r>
        <w:rPr>
          <w:noProof/>
        </w:rPr>
      </w:r>
      <w:r>
        <w:rPr>
          <w:noProof/>
        </w:rPr>
        <w:fldChar w:fldCharType="separate"/>
      </w:r>
      <w:r>
        <w:rPr>
          <w:noProof/>
        </w:rPr>
        <w:t>35</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61. Location and size of the Cold Lake Air Weapons Range  relative to the CLFN Traditional Territory.</w:t>
      </w:r>
      <w:r>
        <w:rPr>
          <w:noProof/>
        </w:rPr>
        <w:tab/>
      </w:r>
      <w:r>
        <w:rPr>
          <w:noProof/>
        </w:rPr>
        <w:fldChar w:fldCharType="begin"/>
      </w:r>
      <w:r>
        <w:rPr>
          <w:noProof/>
        </w:rPr>
        <w:instrText xml:space="preserve"> PAGEREF _Toc338703841 \h </w:instrText>
      </w:r>
      <w:r>
        <w:rPr>
          <w:noProof/>
        </w:rPr>
      </w:r>
      <w:r>
        <w:rPr>
          <w:noProof/>
        </w:rPr>
        <w:fldChar w:fldCharType="separate"/>
      </w:r>
      <w:r>
        <w:rPr>
          <w:noProof/>
        </w:rPr>
        <w:t>35</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62. Estimating combined access constraints of Cold Lake Air Weapons Range by CLFN.</w:t>
      </w:r>
      <w:r>
        <w:rPr>
          <w:noProof/>
        </w:rPr>
        <w:tab/>
      </w:r>
      <w:r>
        <w:rPr>
          <w:noProof/>
        </w:rPr>
        <w:fldChar w:fldCharType="begin"/>
      </w:r>
      <w:r>
        <w:rPr>
          <w:noProof/>
        </w:rPr>
        <w:instrText xml:space="preserve"> PAGEREF _Toc338703842 \h </w:instrText>
      </w:r>
      <w:r>
        <w:rPr>
          <w:noProof/>
        </w:rPr>
      </w:r>
      <w:r>
        <w:rPr>
          <w:noProof/>
        </w:rPr>
        <w:fldChar w:fldCharType="separate"/>
      </w:r>
      <w:r>
        <w:rPr>
          <w:noProof/>
        </w:rPr>
        <w:t>36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63. The pre-CLAWR network of many dozens of cabins are unused, not maintained, and are in the process of decay.</w:t>
      </w:r>
      <w:r>
        <w:rPr>
          <w:noProof/>
        </w:rPr>
        <w:tab/>
      </w:r>
      <w:r>
        <w:rPr>
          <w:noProof/>
        </w:rPr>
        <w:fldChar w:fldCharType="begin"/>
      </w:r>
      <w:r>
        <w:rPr>
          <w:noProof/>
        </w:rPr>
        <w:instrText xml:space="preserve"> PAGEREF _Toc338703843 \h </w:instrText>
      </w:r>
      <w:r>
        <w:rPr>
          <w:noProof/>
        </w:rPr>
      </w:r>
      <w:r>
        <w:rPr>
          <w:noProof/>
        </w:rPr>
        <w:fldChar w:fldCharType="separate"/>
      </w:r>
      <w:r>
        <w:rPr>
          <w:noProof/>
        </w:rPr>
        <w:t>36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64.  The provincial parks and recreation areas network in CLFN SA is intended to contribute to ecological integrity in the region but this mandate is not necessarily compatible with maintaining traditional activities of CLFN peoples.</w:t>
      </w:r>
      <w:r>
        <w:rPr>
          <w:noProof/>
        </w:rPr>
        <w:tab/>
      </w:r>
      <w:r>
        <w:rPr>
          <w:noProof/>
        </w:rPr>
        <w:fldChar w:fldCharType="begin"/>
      </w:r>
      <w:r>
        <w:rPr>
          <w:noProof/>
        </w:rPr>
        <w:instrText xml:space="preserve"> PAGEREF _Toc338703844 \h </w:instrText>
      </w:r>
      <w:r>
        <w:rPr>
          <w:noProof/>
        </w:rPr>
      </w:r>
      <w:r>
        <w:rPr>
          <w:noProof/>
        </w:rPr>
        <w:fldChar w:fldCharType="separate"/>
      </w:r>
      <w:r>
        <w:rPr>
          <w:noProof/>
        </w:rPr>
        <w:t>37</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65. Historical changes in the area of protected areas (provincial, federal) in Alberta relative to CLFN SA.</w:t>
      </w:r>
      <w:r>
        <w:rPr>
          <w:noProof/>
        </w:rPr>
        <w:tab/>
      </w:r>
      <w:r>
        <w:rPr>
          <w:noProof/>
        </w:rPr>
        <w:fldChar w:fldCharType="begin"/>
      </w:r>
      <w:r>
        <w:rPr>
          <w:noProof/>
        </w:rPr>
        <w:instrText xml:space="preserve"> PAGEREF _Toc338703845 \h </w:instrText>
      </w:r>
      <w:r>
        <w:rPr>
          <w:noProof/>
        </w:rPr>
      </w:r>
      <w:r>
        <w:rPr>
          <w:noProof/>
        </w:rPr>
        <w:fldChar w:fldCharType="separate"/>
      </w:r>
      <w:r>
        <w:rPr>
          <w:noProof/>
        </w:rPr>
        <w:t>38</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66.  Distribution of provincial parks of CLFN SA relative to landscape types.</w:t>
      </w:r>
      <w:r>
        <w:rPr>
          <w:noProof/>
        </w:rPr>
        <w:tab/>
      </w:r>
      <w:r>
        <w:rPr>
          <w:noProof/>
        </w:rPr>
        <w:fldChar w:fldCharType="begin"/>
      </w:r>
      <w:r>
        <w:rPr>
          <w:noProof/>
        </w:rPr>
        <w:instrText xml:space="preserve"> PAGEREF _Toc338703846 \h </w:instrText>
      </w:r>
      <w:r>
        <w:rPr>
          <w:noProof/>
        </w:rPr>
      </w:r>
      <w:r>
        <w:rPr>
          <w:noProof/>
        </w:rPr>
        <w:fldChar w:fldCharType="separate"/>
      </w:r>
      <w:r>
        <w:rPr>
          <w:noProof/>
        </w:rPr>
        <w:t>38</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67. The forest sector is the largest land-use practice in the boreal forest of Alberta.</w:t>
      </w:r>
      <w:r>
        <w:rPr>
          <w:noProof/>
        </w:rPr>
        <w:tab/>
      </w:r>
      <w:r>
        <w:rPr>
          <w:noProof/>
        </w:rPr>
        <w:fldChar w:fldCharType="begin"/>
      </w:r>
      <w:r>
        <w:rPr>
          <w:noProof/>
        </w:rPr>
        <w:instrText xml:space="preserve"> PAGEREF _Toc338703847 \h </w:instrText>
      </w:r>
      <w:r>
        <w:rPr>
          <w:noProof/>
        </w:rPr>
      </w:r>
      <w:r>
        <w:rPr>
          <w:noProof/>
        </w:rPr>
        <w:fldChar w:fldCharType="separate"/>
      </w:r>
      <w:r>
        <w:rPr>
          <w:noProof/>
        </w:rPr>
        <w:t>39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68. History and location of Forest Management Agreement Areas (FMA) within Alberta relative to CLFN SA.</w:t>
      </w:r>
      <w:r>
        <w:rPr>
          <w:noProof/>
        </w:rPr>
        <w:tab/>
      </w:r>
      <w:r>
        <w:rPr>
          <w:noProof/>
        </w:rPr>
        <w:fldChar w:fldCharType="begin"/>
      </w:r>
      <w:r>
        <w:rPr>
          <w:noProof/>
        </w:rPr>
        <w:instrText xml:space="preserve"> PAGEREF _Toc338703848 \h </w:instrText>
      </w:r>
      <w:r>
        <w:rPr>
          <w:noProof/>
        </w:rPr>
      </w:r>
      <w:r>
        <w:rPr>
          <w:noProof/>
        </w:rPr>
        <w:fldChar w:fldCharType="separate"/>
      </w:r>
      <w:r>
        <w:rPr>
          <w:noProof/>
        </w:rPr>
        <w:t>40</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69 Google imagery illustrating cutblock network in the Traditional Territory of CLFN immediately east of the Martineau Reserve in Saskatchewan.</w:t>
      </w:r>
      <w:r>
        <w:rPr>
          <w:noProof/>
        </w:rPr>
        <w:tab/>
      </w:r>
      <w:r>
        <w:rPr>
          <w:noProof/>
        </w:rPr>
        <w:fldChar w:fldCharType="begin"/>
      </w:r>
      <w:r>
        <w:rPr>
          <w:noProof/>
        </w:rPr>
        <w:instrText xml:space="preserve"> PAGEREF _Toc338703849 \h </w:instrText>
      </w:r>
      <w:r>
        <w:rPr>
          <w:noProof/>
        </w:rPr>
      </w:r>
      <w:r>
        <w:rPr>
          <w:noProof/>
        </w:rPr>
        <w:fldChar w:fldCharType="separate"/>
      </w:r>
      <w:r>
        <w:rPr>
          <w:noProof/>
        </w:rPr>
        <w:t>40</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lastRenderedPageBreak/>
        <w:t>Figure 70. The hydrocarbon sector is an important land-use in the CLFN SA, and one whose benefits and liabilities are immense.</w:t>
      </w:r>
      <w:r>
        <w:rPr>
          <w:noProof/>
        </w:rPr>
        <w:tab/>
      </w:r>
      <w:r>
        <w:rPr>
          <w:noProof/>
        </w:rPr>
        <w:fldChar w:fldCharType="begin"/>
      </w:r>
      <w:r>
        <w:rPr>
          <w:noProof/>
        </w:rPr>
        <w:instrText xml:space="preserve"> PAGEREF _Toc338703850 \h </w:instrText>
      </w:r>
      <w:r>
        <w:rPr>
          <w:noProof/>
        </w:rPr>
      </w:r>
      <w:r>
        <w:rPr>
          <w:noProof/>
        </w:rPr>
        <w:fldChar w:fldCharType="separate"/>
      </w:r>
      <w:r>
        <w:rPr>
          <w:noProof/>
        </w:rPr>
        <w:t>42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71. Key oil and bitumen statistics for CLFN SA and Alberta. Source: ERCB 2010.</w:t>
      </w:r>
      <w:r>
        <w:rPr>
          <w:noProof/>
        </w:rPr>
        <w:tab/>
      </w:r>
      <w:r>
        <w:rPr>
          <w:noProof/>
        </w:rPr>
        <w:fldChar w:fldCharType="begin"/>
      </w:r>
      <w:r>
        <w:rPr>
          <w:noProof/>
        </w:rPr>
        <w:instrText xml:space="preserve"> PAGEREF _Toc338703851 \h </w:instrText>
      </w:r>
      <w:r>
        <w:rPr>
          <w:noProof/>
        </w:rPr>
      </w:r>
      <w:r>
        <w:rPr>
          <w:noProof/>
        </w:rPr>
        <w:fldChar w:fldCharType="separate"/>
      </w:r>
      <w:r>
        <w:rPr>
          <w:noProof/>
        </w:rPr>
        <w:t>42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72. The traditional lands of CLFN span both the Ft. McMurray and Cold Lake oilsand regions of Alberta.</w:t>
      </w:r>
      <w:r>
        <w:rPr>
          <w:noProof/>
        </w:rPr>
        <w:tab/>
      </w:r>
      <w:r>
        <w:rPr>
          <w:noProof/>
        </w:rPr>
        <w:fldChar w:fldCharType="begin"/>
      </w:r>
      <w:r>
        <w:rPr>
          <w:noProof/>
        </w:rPr>
        <w:instrText xml:space="preserve"> PAGEREF _Toc338703852 \h </w:instrText>
      </w:r>
      <w:r>
        <w:rPr>
          <w:noProof/>
        </w:rPr>
      </w:r>
      <w:r>
        <w:rPr>
          <w:noProof/>
        </w:rPr>
        <w:fldChar w:fldCharType="separate"/>
      </w:r>
      <w:r>
        <w:rPr>
          <w:noProof/>
        </w:rPr>
        <w:t>43</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73. Historical production of heavy oil and bitumen in Alberta in relation to the Cold Lake reserves. Source: ERCB, 2010.</w:t>
      </w:r>
      <w:r>
        <w:rPr>
          <w:noProof/>
        </w:rPr>
        <w:tab/>
      </w:r>
      <w:r>
        <w:rPr>
          <w:noProof/>
        </w:rPr>
        <w:fldChar w:fldCharType="begin"/>
      </w:r>
      <w:r>
        <w:rPr>
          <w:noProof/>
        </w:rPr>
        <w:instrText xml:space="preserve"> PAGEREF _Toc338703853 \h </w:instrText>
      </w:r>
      <w:r>
        <w:rPr>
          <w:noProof/>
        </w:rPr>
      </w:r>
      <w:r>
        <w:rPr>
          <w:noProof/>
        </w:rPr>
        <w:fldChar w:fldCharType="separate"/>
      </w:r>
      <w:r>
        <w:rPr>
          <w:noProof/>
        </w:rPr>
        <w:t>43</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74. Major heavy oil and bitumen deposits in the Cold Lake region. Source: ERCB, 2011.</w:t>
      </w:r>
      <w:r>
        <w:rPr>
          <w:noProof/>
        </w:rPr>
        <w:tab/>
      </w:r>
      <w:r>
        <w:rPr>
          <w:noProof/>
        </w:rPr>
        <w:fldChar w:fldCharType="begin"/>
      </w:r>
      <w:r>
        <w:rPr>
          <w:noProof/>
        </w:rPr>
        <w:instrText xml:space="preserve"> PAGEREF _Toc338703854 \h </w:instrText>
      </w:r>
      <w:r>
        <w:rPr>
          <w:noProof/>
        </w:rPr>
      </w:r>
      <w:r>
        <w:rPr>
          <w:noProof/>
        </w:rPr>
        <w:fldChar w:fldCharType="separate"/>
      </w:r>
      <w:r>
        <w:rPr>
          <w:noProof/>
        </w:rPr>
        <w:t>44</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75. CLFN SA in context of historical natural gas production in Alberta. Source: ERCB, 2011.</w:t>
      </w:r>
      <w:r>
        <w:rPr>
          <w:noProof/>
        </w:rPr>
        <w:tab/>
      </w:r>
      <w:r>
        <w:rPr>
          <w:noProof/>
        </w:rPr>
        <w:fldChar w:fldCharType="begin"/>
      </w:r>
      <w:r>
        <w:rPr>
          <w:noProof/>
        </w:rPr>
        <w:instrText xml:space="preserve"> PAGEREF _Toc338703855 \h </w:instrText>
      </w:r>
      <w:r>
        <w:rPr>
          <w:noProof/>
        </w:rPr>
      </w:r>
      <w:r>
        <w:rPr>
          <w:noProof/>
        </w:rPr>
        <w:fldChar w:fldCharType="separate"/>
      </w:r>
      <w:r>
        <w:rPr>
          <w:noProof/>
        </w:rPr>
        <w:t>44</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76. CLFN SA in context of historical conventional oil production in Alberta. Source: ERCB, 2011.</w:t>
      </w:r>
      <w:r>
        <w:rPr>
          <w:noProof/>
        </w:rPr>
        <w:tab/>
      </w:r>
      <w:r>
        <w:rPr>
          <w:noProof/>
        </w:rPr>
        <w:fldChar w:fldCharType="begin"/>
      </w:r>
      <w:r>
        <w:rPr>
          <w:noProof/>
        </w:rPr>
        <w:instrText xml:space="preserve"> PAGEREF _Toc338703856 \h </w:instrText>
      </w:r>
      <w:r>
        <w:rPr>
          <w:noProof/>
        </w:rPr>
      </w:r>
      <w:r>
        <w:rPr>
          <w:noProof/>
        </w:rPr>
        <w:fldChar w:fldCharType="separate"/>
      </w:r>
      <w:r>
        <w:rPr>
          <w:noProof/>
        </w:rPr>
        <w:t>45</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77. CLFN SA in context of historical unconventional oil (heavy, bitumen) production in Alberta. Source: ERCB, 2011.</w:t>
      </w:r>
      <w:r>
        <w:rPr>
          <w:noProof/>
        </w:rPr>
        <w:tab/>
      </w:r>
      <w:r>
        <w:rPr>
          <w:noProof/>
        </w:rPr>
        <w:fldChar w:fldCharType="begin"/>
      </w:r>
      <w:r>
        <w:rPr>
          <w:noProof/>
        </w:rPr>
        <w:instrText xml:space="preserve"> PAGEREF _Toc338703857 \h </w:instrText>
      </w:r>
      <w:r>
        <w:rPr>
          <w:noProof/>
        </w:rPr>
      </w:r>
      <w:r>
        <w:rPr>
          <w:noProof/>
        </w:rPr>
        <w:fldChar w:fldCharType="separate"/>
      </w:r>
      <w:r>
        <w:rPr>
          <w:noProof/>
        </w:rPr>
        <w:t>45</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78. Current seismic line network on CLFN SA.</w:t>
      </w:r>
      <w:r>
        <w:rPr>
          <w:noProof/>
        </w:rPr>
        <w:tab/>
      </w:r>
      <w:r>
        <w:rPr>
          <w:noProof/>
        </w:rPr>
        <w:fldChar w:fldCharType="begin"/>
      </w:r>
      <w:r>
        <w:rPr>
          <w:noProof/>
        </w:rPr>
        <w:instrText xml:space="preserve"> PAGEREF _Toc338703858 \h </w:instrText>
      </w:r>
      <w:r>
        <w:rPr>
          <w:noProof/>
        </w:rPr>
      </w:r>
      <w:r>
        <w:rPr>
          <w:noProof/>
        </w:rPr>
        <w:fldChar w:fldCharType="separate"/>
      </w:r>
      <w:r>
        <w:rPr>
          <w:noProof/>
        </w:rPr>
        <w:t>46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79. Current wellpad network on CLFN SA.</w:t>
      </w:r>
      <w:r>
        <w:rPr>
          <w:noProof/>
        </w:rPr>
        <w:tab/>
      </w:r>
      <w:r>
        <w:rPr>
          <w:noProof/>
        </w:rPr>
        <w:fldChar w:fldCharType="begin"/>
      </w:r>
      <w:r>
        <w:rPr>
          <w:noProof/>
        </w:rPr>
        <w:instrText xml:space="preserve"> PAGEREF _Toc338703859 \h </w:instrText>
      </w:r>
      <w:r>
        <w:rPr>
          <w:noProof/>
        </w:rPr>
      </w:r>
      <w:r>
        <w:rPr>
          <w:noProof/>
        </w:rPr>
        <w:fldChar w:fldCharType="separate"/>
      </w:r>
      <w:r>
        <w:rPr>
          <w:noProof/>
        </w:rPr>
        <w:t>46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80. Current pipeline network on CLFN SA.</w:t>
      </w:r>
      <w:r>
        <w:rPr>
          <w:noProof/>
        </w:rPr>
        <w:tab/>
      </w:r>
      <w:r>
        <w:rPr>
          <w:noProof/>
        </w:rPr>
        <w:fldChar w:fldCharType="begin"/>
      </w:r>
      <w:r>
        <w:rPr>
          <w:noProof/>
        </w:rPr>
        <w:instrText xml:space="preserve"> PAGEREF _Toc338703860 \h </w:instrText>
      </w:r>
      <w:r>
        <w:rPr>
          <w:noProof/>
        </w:rPr>
      </w:r>
      <w:r>
        <w:rPr>
          <w:noProof/>
        </w:rPr>
        <w:fldChar w:fldCharType="separate"/>
      </w:r>
      <w:r>
        <w:rPr>
          <w:noProof/>
        </w:rPr>
        <w:t>47</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81. CLFN SA in context of historical well footprint in Alberta. Source: ERCB, 2011.</w:t>
      </w:r>
      <w:r>
        <w:rPr>
          <w:noProof/>
        </w:rPr>
        <w:tab/>
      </w:r>
      <w:r>
        <w:rPr>
          <w:noProof/>
        </w:rPr>
        <w:fldChar w:fldCharType="begin"/>
      </w:r>
      <w:r>
        <w:rPr>
          <w:noProof/>
        </w:rPr>
        <w:instrText xml:space="preserve"> PAGEREF _Toc338703861 \h </w:instrText>
      </w:r>
      <w:r>
        <w:rPr>
          <w:noProof/>
        </w:rPr>
      </w:r>
      <w:r>
        <w:rPr>
          <w:noProof/>
        </w:rPr>
        <w:fldChar w:fldCharType="separate"/>
      </w:r>
      <w:r>
        <w:rPr>
          <w:noProof/>
        </w:rPr>
        <w:t>47</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82. Time series (1910-2010) of well density in CLFN SA.</w:t>
      </w:r>
      <w:r>
        <w:rPr>
          <w:noProof/>
        </w:rPr>
        <w:tab/>
      </w:r>
      <w:r>
        <w:rPr>
          <w:noProof/>
        </w:rPr>
        <w:fldChar w:fldCharType="begin"/>
      </w:r>
      <w:r>
        <w:rPr>
          <w:noProof/>
        </w:rPr>
        <w:instrText xml:space="preserve"> PAGEREF _Toc338703862 \h </w:instrText>
      </w:r>
      <w:r>
        <w:rPr>
          <w:noProof/>
        </w:rPr>
      </w:r>
      <w:r>
        <w:rPr>
          <w:noProof/>
        </w:rPr>
        <w:fldChar w:fldCharType="separate"/>
      </w:r>
      <w:r>
        <w:rPr>
          <w:noProof/>
        </w:rPr>
        <w:t>48</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83. Ultimate Gas in Place in Alberta and in relation to the CLFN SA. Source: Alberta Energy and Utilities Board.</w:t>
      </w:r>
      <w:r>
        <w:rPr>
          <w:noProof/>
        </w:rPr>
        <w:tab/>
      </w:r>
      <w:r>
        <w:rPr>
          <w:noProof/>
        </w:rPr>
        <w:fldChar w:fldCharType="begin"/>
      </w:r>
      <w:r>
        <w:rPr>
          <w:noProof/>
        </w:rPr>
        <w:instrText xml:space="preserve"> PAGEREF _Toc338703863 \h </w:instrText>
      </w:r>
      <w:r>
        <w:rPr>
          <w:noProof/>
        </w:rPr>
      </w:r>
      <w:r>
        <w:rPr>
          <w:noProof/>
        </w:rPr>
        <w:fldChar w:fldCharType="separate"/>
      </w:r>
      <w:r>
        <w:rPr>
          <w:noProof/>
        </w:rPr>
        <w:t>48</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84. Various restrictions to natural gas production in region of CLFN SA. Source: Alberta Energy.</w:t>
      </w:r>
      <w:r>
        <w:rPr>
          <w:noProof/>
        </w:rPr>
        <w:tab/>
      </w:r>
      <w:r>
        <w:rPr>
          <w:noProof/>
        </w:rPr>
        <w:fldChar w:fldCharType="begin"/>
      </w:r>
      <w:r>
        <w:rPr>
          <w:noProof/>
        </w:rPr>
        <w:instrText xml:space="preserve"> PAGEREF _Toc338703864 \h </w:instrText>
      </w:r>
      <w:r>
        <w:rPr>
          <w:noProof/>
        </w:rPr>
      </w:r>
      <w:r>
        <w:rPr>
          <w:noProof/>
        </w:rPr>
        <w:fldChar w:fldCharType="separate"/>
      </w:r>
      <w:r>
        <w:rPr>
          <w:noProof/>
        </w:rPr>
        <w:t>49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86. Roads provide access to the landscape but also provide challenges to sustainable management of wildlife resources.</w:t>
      </w:r>
      <w:r>
        <w:rPr>
          <w:noProof/>
        </w:rPr>
        <w:tab/>
      </w:r>
      <w:r>
        <w:rPr>
          <w:noProof/>
        </w:rPr>
        <w:fldChar w:fldCharType="begin"/>
      </w:r>
      <w:r>
        <w:rPr>
          <w:noProof/>
        </w:rPr>
        <w:instrText xml:space="preserve"> PAGEREF _Toc338703865 \h </w:instrText>
      </w:r>
      <w:r>
        <w:rPr>
          <w:noProof/>
        </w:rPr>
      </w:r>
      <w:r>
        <w:rPr>
          <w:noProof/>
        </w:rPr>
        <w:fldChar w:fldCharType="separate"/>
      </w:r>
      <w:r>
        <w:rPr>
          <w:noProof/>
        </w:rPr>
        <w:t>51</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87. Current road network on CLFN SA.</w:t>
      </w:r>
      <w:r>
        <w:rPr>
          <w:noProof/>
        </w:rPr>
        <w:tab/>
      </w:r>
      <w:r>
        <w:rPr>
          <w:noProof/>
        </w:rPr>
        <w:fldChar w:fldCharType="begin"/>
      </w:r>
      <w:r>
        <w:rPr>
          <w:noProof/>
        </w:rPr>
        <w:instrText xml:space="preserve"> PAGEREF _Toc338703866 \h </w:instrText>
      </w:r>
      <w:r>
        <w:rPr>
          <w:noProof/>
        </w:rPr>
      </w:r>
      <w:r>
        <w:rPr>
          <w:noProof/>
        </w:rPr>
        <w:fldChar w:fldCharType="separate"/>
      </w:r>
      <w:r>
        <w:rPr>
          <w:noProof/>
        </w:rPr>
        <w:t>51</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88. Road network of CLFN SA in context of Alberta.</w:t>
      </w:r>
      <w:r>
        <w:rPr>
          <w:noProof/>
        </w:rPr>
        <w:tab/>
      </w:r>
      <w:r>
        <w:rPr>
          <w:noProof/>
        </w:rPr>
        <w:fldChar w:fldCharType="begin"/>
      </w:r>
      <w:r>
        <w:rPr>
          <w:noProof/>
        </w:rPr>
        <w:instrText xml:space="preserve"> PAGEREF _Toc338703867 \h </w:instrText>
      </w:r>
      <w:r>
        <w:rPr>
          <w:noProof/>
        </w:rPr>
      </w:r>
      <w:r>
        <w:rPr>
          <w:noProof/>
        </w:rPr>
        <w:fldChar w:fldCharType="separate"/>
      </w:r>
      <w:r>
        <w:rPr>
          <w:noProof/>
        </w:rPr>
        <w:t>52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89. Time series (1910-2010) of transportation density in CLFN SA.</w:t>
      </w:r>
      <w:r>
        <w:rPr>
          <w:noProof/>
        </w:rPr>
        <w:tab/>
      </w:r>
      <w:r>
        <w:rPr>
          <w:noProof/>
        </w:rPr>
        <w:fldChar w:fldCharType="begin"/>
      </w:r>
      <w:r>
        <w:rPr>
          <w:noProof/>
        </w:rPr>
        <w:instrText xml:space="preserve"> PAGEREF _Toc338703868 \h </w:instrText>
      </w:r>
      <w:r>
        <w:rPr>
          <w:noProof/>
        </w:rPr>
      </w:r>
      <w:r>
        <w:rPr>
          <w:noProof/>
        </w:rPr>
        <w:fldChar w:fldCharType="separate"/>
      </w:r>
      <w:r>
        <w:rPr>
          <w:noProof/>
        </w:rPr>
        <w:t>52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90. The CLFN landscape is being collectively transformed by a suite of overlapping land-uses.</w:t>
      </w:r>
      <w:r>
        <w:rPr>
          <w:noProof/>
        </w:rPr>
        <w:tab/>
      </w:r>
      <w:r>
        <w:rPr>
          <w:noProof/>
        </w:rPr>
        <w:fldChar w:fldCharType="begin"/>
      </w:r>
      <w:r>
        <w:rPr>
          <w:noProof/>
        </w:rPr>
        <w:instrText xml:space="preserve"> PAGEREF _Toc338703869 \h </w:instrText>
      </w:r>
      <w:r>
        <w:rPr>
          <w:noProof/>
        </w:rPr>
      </w:r>
      <w:r>
        <w:rPr>
          <w:noProof/>
        </w:rPr>
        <w:fldChar w:fldCharType="separate"/>
      </w:r>
      <w:r>
        <w:rPr>
          <w:noProof/>
        </w:rPr>
        <w:t>55</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91. Current (2012) area in landscape and footprint types on CLFN SA.</w:t>
      </w:r>
      <w:r>
        <w:rPr>
          <w:noProof/>
        </w:rPr>
        <w:tab/>
      </w:r>
      <w:r>
        <w:rPr>
          <w:noProof/>
        </w:rPr>
        <w:fldChar w:fldCharType="begin"/>
      </w:r>
      <w:r>
        <w:rPr>
          <w:noProof/>
        </w:rPr>
        <w:instrText xml:space="preserve"> PAGEREF _Toc338703870 \h </w:instrText>
      </w:r>
      <w:r>
        <w:rPr>
          <w:noProof/>
        </w:rPr>
      </w:r>
      <w:r>
        <w:rPr>
          <w:noProof/>
        </w:rPr>
        <w:fldChar w:fldCharType="separate"/>
      </w:r>
      <w:r>
        <w:rPr>
          <w:noProof/>
        </w:rPr>
        <w:t>55</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92. Examples of key land-use footprints on CLFN SA.</w:t>
      </w:r>
      <w:r>
        <w:rPr>
          <w:noProof/>
        </w:rPr>
        <w:tab/>
      </w:r>
      <w:r>
        <w:rPr>
          <w:noProof/>
        </w:rPr>
        <w:fldChar w:fldCharType="begin"/>
      </w:r>
      <w:r>
        <w:rPr>
          <w:noProof/>
        </w:rPr>
        <w:instrText xml:space="preserve"> PAGEREF _Toc338703871 \h </w:instrText>
      </w:r>
      <w:r>
        <w:rPr>
          <w:noProof/>
        </w:rPr>
      </w:r>
      <w:r>
        <w:rPr>
          <w:noProof/>
        </w:rPr>
        <w:fldChar w:fldCharType="separate"/>
      </w:r>
      <w:r>
        <w:rPr>
          <w:noProof/>
        </w:rPr>
        <w:t>56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93. Examples of land-use footprints on CLFN SA as clipped from Google Earth (www.earth.google.com).</w:t>
      </w:r>
      <w:r>
        <w:rPr>
          <w:noProof/>
        </w:rPr>
        <w:tab/>
      </w:r>
      <w:r>
        <w:rPr>
          <w:noProof/>
        </w:rPr>
        <w:fldChar w:fldCharType="begin"/>
      </w:r>
      <w:r>
        <w:rPr>
          <w:noProof/>
        </w:rPr>
        <w:instrText xml:space="preserve"> PAGEREF _Toc338703872 \h </w:instrText>
      </w:r>
      <w:r>
        <w:rPr>
          <w:noProof/>
        </w:rPr>
      </w:r>
      <w:r>
        <w:rPr>
          <w:noProof/>
        </w:rPr>
        <w:fldChar w:fldCharType="separate"/>
      </w:r>
      <w:r>
        <w:rPr>
          <w:noProof/>
        </w:rPr>
        <w:t>56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94. Temporal changes in anthropogenic area in Alberta and CLFN SA.</w:t>
      </w:r>
      <w:r>
        <w:rPr>
          <w:noProof/>
        </w:rPr>
        <w:tab/>
      </w:r>
      <w:r>
        <w:rPr>
          <w:noProof/>
        </w:rPr>
        <w:fldChar w:fldCharType="begin"/>
      </w:r>
      <w:r>
        <w:rPr>
          <w:noProof/>
        </w:rPr>
        <w:instrText xml:space="preserve"> PAGEREF _Toc338703873 \h </w:instrText>
      </w:r>
      <w:r>
        <w:rPr>
          <w:noProof/>
        </w:rPr>
      </w:r>
      <w:r>
        <w:rPr>
          <w:noProof/>
        </w:rPr>
        <w:fldChar w:fldCharType="separate"/>
      </w:r>
      <w:r>
        <w:rPr>
          <w:noProof/>
        </w:rPr>
        <w:t>57</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95. Historical time series (1910 - 2010) of anthropogenic area in CLFN SA.</w:t>
      </w:r>
      <w:r>
        <w:rPr>
          <w:noProof/>
        </w:rPr>
        <w:tab/>
      </w:r>
      <w:r>
        <w:rPr>
          <w:noProof/>
        </w:rPr>
        <w:fldChar w:fldCharType="begin"/>
      </w:r>
      <w:r>
        <w:rPr>
          <w:noProof/>
        </w:rPr>
        <w:instrText xml:space="preserve"> PAGEREF _Toc338703874 \h </w:instrText>
      </w:r>
      <w:r>
        <w:rPr>
          <w:noProof/>
        </w:rPr>
      </w:r>
      <w:r>
        <w:rPr>
          <w:noProof/>
        </w:rPr>
        <w:fldChar w:fldCharType="separate"/>
      </w:r>
      <w:r>
        <w:rPr>
          <w:noProof/>
        </w:rPr>
        <w:t>57</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96. Current and Cumulative Land-use Edge on CLFN SA as of 2012.</w:t>
      </w:r>
      <w:r>
        <w:rPr>
          <w:noProof/>
        </w:rPr>
        <w:tab/>
      </w:r>
      <w:r>
        <w:rPr>
          <w:noProof/>
        </w:rPr>
        <w:fldChar w:fldCharType="begin"/>
      </w:r>
      <w:r>
        <w:rPr>
          <w:noProof/>
        </w:rPr>
        <w:instrText xml:space="preserve"> PAGEREF _Toc338703875 \h </w:instrText>
      </w:r>
      <w:r>
        <w:rPr>
          <w:noProof/>
        </w:rPr>
      </w:r>
      <w:r>
        <w:rPr>
          <w:noProof/>
        </w:rPr>
        <w:fldChar w:fldCharType="separate"/>
      </w:r>
      <w:r>
        <w:rPr>
          <w:noProof/>
        </w:rPr>
        <w:t>58</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97. Temporal changes in footprint edge density (km/km</w:t>
      </w:r>
      <w:r w:rsidRPr="00CE438D">
        <w:rPr>
          <w:noProof/>
          <w:vertAlign w:val="superscript"/>
        </w:rPr>
        <w:t>2</w:t>
      </w:r>
      <w:r>
        <w:rPr>
          <w:noProof/>
        </w:rPr>
        <w:t>) in Alberta and CLFN SA.</w:t>
      </w:r>
      <w:r>
        <w:rPr>
          <w:noProof/>
        </w:rPr>
        <w:tab/>
      </w:r>
      <w:r>
        <w:rPr>
          <w:noProof/>
        </w:rPr>
        <w:fldChar w:fldCharType="begin"/>
      </w:r>
      <w:r>
        <w:rPr>
          <w:noProof/>
        </w:rPr>
        <w:instrText xml:space="preserve"> PAGEREF _Toc338703876 \h </w:instrText>
      </w:r>
      <w:r>
        <w:rPr>
          <w:noProof/>
        </w:rPr>
      </w:r>
      <w:r>
        <w:rPr>
          <w:noProof/>
        </w:rPr>
        <w:fldChar w:fldCharType="separate"/>
      </w:r>
      <w:r>
        <w:rPr>
          <w:noProof/>
        </w:rPr>
        <w:t>58</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98. Historical time series (1910-2010) of land-use edge density in CLFN SA.</w:t>
      </w:r>
      <w:r>
        <w:rPr>
          <w:noProof/>
        </w:rPr>
        <w:tab/>
      </w:r>
      <w:r>
        <w:rPr>
          <w:noProof/>
        </w:rPr>
        <w:fldChar w:fldCharType="begin"/>
      </w:r>
      <w:r>
        <w:rPr>
          <w:noProof/>
        </w:rPr>
        <w:instrText xml:space="preserve"> PAGEREF _Toc338703877 \h </w:instrText>
      </w:r>
      <w:r>
        <w:rPr>
          <w:noProof/>
        </w:rPr>
      </w:r>
      <w:r>
        <w:rPr>
          <w:noProof/>
        </w:rPr>
        <w:fldChar w:fldCharType="separate"/>
      </w:r>
      <w:r>
        <w:rPr>
          <w:noProof/>
        </w:rPr>
        <w:t>59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99. Temporal changes in natural landscapes in Alberta and CLFN SA.</w:t>
      </w:r>
      <w:r>
        <w:rPr>
          <w:noProof/>
        </w:rPr>
        <w:tab/>
      </w:r>
      <w:r>
        <w:rPr>
          <w:noProof/>
        </w:rPr>
        <w:fldChar w:fldCharType="begin"/>
      </w:r>
      <w:r>
        <w:rPr>
          <w:noProof/>
        </w:rPr>
        <w:instrText xml:space="preserve"> PAGEREF _Toc338703878 \h </w:instrText>
      </w:r>
      <w:r>
        <w:rPr>
          <w:noProof/>
        </w:rPr>
      </w:r>
      <w:r>
        <w:rPr>
          <w:noProof/>
        </w:rPr>
        <w:fldChar w:fldCharType="separate"/>
      </w:r>
      <w:r>
        <w:rPr>
          <w:noProof/>
        </w:rPr>
        <w:t>59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lastRenderedPageBreak/>
        <w:t>Figure 100. Historical time series (1910-2010) of natural area in CLFN SA.</w:t>
      </w:r>
      <w:r>
        <w:rPr>
          <w:noProof/>
        </w:rPr>
        <w:tab/>
      </w:r>
      <w:r>
        <w:rPr>
          <w:noProof/>
        </w:rPr>
        <w:fldChar w:fldCharType="begin"/>
      </w:r>
      <w:r>
        <w:rPr>
          <w:noProof/>
        </w:rPr>
        <w:instrText xml:space="preserve"> PAGEREF _Toc338703879 \h </w:instrText>
      </w:r>
      <w:r>
        <w:rPr>
          <w:noProof/>
        </w:rPr>
      </w:r>
      <w:r>
        <w:rPr>
          <w:noProof/>
        </w:rPr>
        <w:fldChar w:fldCharType="separate"/>
      </w:r>
      <w:r>
        <w:rPr>
          <w:noProof/>
        </w:rPr>
        <w:t>60</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101. Current (2012) landscape types in CLFN SA illustrating the prevalence of croplands in the southern reaches of the study area.</w:t>
      </w:r>
      <w:r>
        <w:rPr>
          <w:noProof/>
        </w:rPr>
        <w:tab/>
      </w:r>
      <w:r>
        <w:rPr>
          <w:noProof/>
        </w:rPr>
        <w:fldChar w:fldCharType="begin"/>
      </w:r>
      <w:r>
        <w:rPr>
          <w:noProof/>
        </w:rPr>
        <w:instrText xml:space="preserve"> PAGEREF _Toc338703880 \h </w:instrText>
      </w:r>
      <w:r>
        <w:rPr>
          <w:noProof/>
        </w:rPr>
      </w:r>
      <w:r>
        <w:rPr>
          <w:noProof/>
        </w:rPr>
        <w:fldChar w:fldCharType="separate"/>
      </w:r>
      <w:r>
        <w:rPr>
          <w:noProof/>
        </w:rPr>
        <w:t>61</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102. Buffered anthropogenic footprint in CLFN SA. CLAWR not shown in white.</w:t>
      </w:r>
      <w:r>
        <w:rPr>
          <w:noProof/>
        </w:rPr>
        <w:tab/>
      </w:r>
      <w:r>
        <w:rPr>
          <w:noProof/>
        </w:rPr>
        <w:fldChar w:fldCharType="begin"/>
      </w:r>
      <w:r>
        <w:rPr>
          <w:noProof/>
        </w:rPr>
        <w:instrText xml:space="preserve"> PAGEREF _Toc338703881 \h </w:instrText>
      </w:r>
      <w:r>
        <w:rPr>
          <w:noProof/>
        </w:rPr>
      </w:r>
      <w:r>
        <w:rPr>
          <w:noProof/>
        </w:rPr>
        <w:fldChar w:fldCharType="separate"/>
      </w:r>
      <w:r>
        <w:rPr>
          <w:noProof/>
        </w:rPr>
        <w:t>62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103. Cumulative loss of natural landscape in CLFN SA from land-use footprint. 100 m buffer placed on linear and curvilinear features. CLAWR shown in white.</w:t>
      </w:r>
      <w:r>
        <w:rPr>
          <w:noProof/>
        </w:rPr>
        <w:tab/>
      </w:r>
      <w:r>
        <w:rPr>
          <w:noProof/>
        </w:rPr>
        <w:fldChar w:fldCharType="begin"/>
      </w:r>
      <w:r>
        <w:rPr>
          <w:noProof/>
        </w:rPr>
        <w:instrText xml:space="preserve"> PAGEREF _Toc338703882 \h </w:instrText>
      </w:r>
      <w:r>
        <w:rPr>
          <w:noProof/>
        </w:rPr>
      </w:r>
      <w:r>
        <w:rPr>
          <w:noProof/>
        </w:rPr>
        <w:fldChar w:fldCharType="separate"/>
      </w:r>
      <w:r>
        <w:rPr>
          <w:noProof/>
        </w:rPr>
        <w:t>63</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104. Selected landscape, ecological, social-cultural and economic CLFN SA performance indicators.</w:t>
      </w:r>
      <w:r>
        <w:rPr>
          <w:noProof/>
        </w:rPr>
        <w:tab/>
      </w:r>
      <w:r>
        <w:rPr>
          <w:noProof/>
        </w:rPr>
        <w:fldChar w:fldCharType="begin"/>
      </w:r>
      <w:r>
        <w:rPr>
          <w:noProof/>
        </w:rPr>
        <w:instrText xml:space="preserve"> PAGEREF _Toc338703883 \h </w:instrText>
      </w:r>
      <w:r>
        <w:rPr>
          <w:noProof/>
        </w:rPr>
      </w:r>
      <w:r>
        <w:rPr>
          <w:noProof/>
        </w:rPr>
        <w:fldChar w:fldCharType="separate"/>
      </w:r>
      <w:r>
        <w:rPr>
          <w:noProof/>
        </w:rPr>
        <w:t>64</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105. Linear and polygonal land-use footprints fragment landscape and reduce the amount of undisturbed core area.</w:t>
      </w:r>
      <w:r>
        <w:rPr>
          <w:noProof/>
        </w:rPr>
        <w:tab/>
      </w:r>
      <w:r>
        <w:rPr>
          <w:noProof/>
        </w:rPr>
        <w:fldChar w:fldCharType="begin"/>
      </w:r>
      <w:r>
        <w:rPr>
          <w:noProof/>
        </w:rPr>
        <w:instrText xml:space="preserve"> PAGEREF _Toc338703884 \h </w:instrText>
      </w:r>
      <w:r>
        <w:rPr>
          <w:noProof/>
        </w:rPr>
      </w:r>
      <w:r>
        <w:rPr>
          <w:noProof/>
        </w:rPr>
        <w:fldChar w:fldCharType="separate"/>
      </w:r>
      <w:r>
        <w:rPr>
          <w:noProof/>
        </w:rPr>
        <w:t>69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106. The major ecological indicators simulated in the CLFN ALCES Simulator.</w:t>
      </w:r>
      <w:r>
        <w:rPr>
          <w:noProof/>
        </w:rPr>
        <w:tab/>
      </w:r>
      <w:r>
        <w:rPr>
          <w:noProof/>
        </w:rPr>
        <w:fldChar w:fldCharType="begin"/>
      </w:r>
      <w:r>
        <w:rPr>
          <w:noProof/>
        </w:rPr>
        <w:instrText xml:space="preserve"> PAGEREF _Toc338703885 \h </w:instrText>
      </w:r>
      <w:r>
        <w:rPr>
          <w:noProof/>
        </w:rPr>
      </w:r>
      <w:r>
        <w:rPr>
          <w:noProof/>
        </w:rPr>
        <w:fldChar w:fldCharType="separate"/>
      </w:r>
      <w:r>
        <w:rPr>
          <w:noProof/>
        </w:rPr>
        <w:t>69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107. Ecological indictors are affected by a suite of natural disturbance regimes, human land-uses, and the direct activities of humans.</w:t>
      </w:r>
      <w:r>
        <w:rPr>
          <w:noProof/>
        </w:rPr>
        <w:tab/>
      </w:r>
      <w:r>
        <w:rPr>
          <w:noProof/>
        </w:rPr>
        <w:fldChar w:fldCharType="begin"/>
      </w:r>
      <w:r>
        <w:rPr>
          <w:noProof/>
        </w:rPr>
        <w:instrText xml:space="preserve"> PAGEREF _Toc338703886 \h </w:instrText>
      </w:r>
      <w:r>
        <w:rPr>
          <w:noProof/>
        </w:rPr>
      </w:r>
      <w:r>
        <w:rPr>
          <w:noProof/>
        </w:rPr>
        <w:fldChar w:fldCharType="separate"/>
      </w:r>
      <w:r>
        <w:rPr>
          <w:noProof/>
        </w:rPr>
        <w:t>70</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108. Key landscape metrics affecting performance of ecological indicators.</w:t>
      </w:r>
      <w:r>
        <w:rPr>
          <w:noProof/>
        </w:rPr>
        <w:tab/>
      </w:r>
      <w:r>
        <w:rPr>
          <w:noProof/>
        </w:rPr>
        <w:fldChar w:fldCharType="begin"/>
      </w:r>
      <w:r>
        <w:rPr>
          <w:noProof/>
        </w:rPr>
        <w:instrText xml:space="preserve"> PAGEREF _Toc338703887 \h </w:instrText>
      </w:r>
      <w:r>
        <w:rPr>
          <w:noProof/>
        </w:rPr>
      </w:r>
      <w:r>
        <w:rPr>
          <w:noProof/>
        </w:rPr>
        <w:fldChar w:fldCharType="separate"/>
      </w:r>
      <w:r>
        <w:rPr>
          <w:noProof/>
        </w:rPr>
        <w:t>70</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109. Natural disturbance regimes affect landscape metrics, which in turn, create a range of natural variation (RNV) in the performance of ecological indicators.</w:t>
      </w:r>
      <w:r>
        <w:rPr>
          <w:noProof/>
        </w:rPr>
        <w:tab/>
      </w:r>
      <w:r>
        <w:rPr>
          <w:noProof/>
        </w:rPr>
        <w:fldChar w:fldCharType="begin"/>
      </w:r>
      <w:r>
        <w:rPr>
          <w:noProof/>
        </w:rPr>
        <w:instrText xml:space="preserve"> PAGEREF _Toc338703888 \h </w:instrText>
      </w:r>
      <w:r>
        <w:rPr>
          <w:noProof/>
        </w:rPr>
      </w:r>
      <w:r>
        <w:rPr>
          <w:noProof/>
        </w:rPr>
        <w:fldChar w:fldCharType="separate"/>
      </w:r>
      <w:r>
        <w:rPr>
          <w:noProof/>
        </w:rPr>
        <w:t>71</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110. In contemporary settings, landscape metrics are affected by both natural disturbance regimes and human land-uses.</w:t>
      </w:r>
      <w:r>
        <w:rPr>
          <w:noProof/>
        </w:rPr>
        <w:tab/>
      </w:r>
      <w:r>
        <w:rPr>
          <w:noProof/>
        </w:rPr>
        <w:fldChar w:fldCharType="begin"/>
      </w:r>
      <w:r>
        <w:rPr>
          <w:noProof/>
        </w:rPr>
        <w:instrText xml:space="preserve"> PAGEREF _Toc338703889 \h </w:instrText>
      </w:r>
      <w:r>
        <w:rPr>
          <w:noProof/>
        </w:rPr>
      </w:r>
      <w:r>
        <w:rPr>
          <w:noProof/>
        </w:rPr>
        <w:fldChar w:fldCharType="separate"/>
      </w:r>
      <w:r>
        <w:rPr>
          <w:noProof/>
        </w:rPr>
        <w:t>72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111. By simulating both natural disturbance regimes and human land-uses, it is possible for ALCES to simulate the RNV and determine whether past or future land-use trajectories will alter the performance of ecological indicators relative to RNV.</w:t>
      </w:r>
      <w:r>
        <w:rPr>
          <w:noProof/>
        </w:rPr>
        <w:tab/>
      </w:r>
      <w:r>
        <w:rPr>
          <w:noProof/>
        </w:rPr>
        <w:fldChar w:fldCharType="begin"/>
      </w:r>
      <w:r>
        <w:rPr>
          <w:noProof/>
        </w:rPr>
        <w:instrText xml:space="preserve"> PAGEREF _Toc338703890 \h </w:instrText>
      </w:r>
      <w:r>
        <w:rPr>
          <w:noProof/>
        </w:rPr>
      </w:r>
      <w:r>
        <w:rPr>
          <w:noProof/>
        </w:rPr>
        <w:fldChar w:fldCharType="separate"/>
      </w:r>
      <w:r>
        <w:rPr>
          <w:noProof/>
        </w:rPr>
        <w:t>72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112. Estimating traditional moose harvest demand by CLFN.</w:t>
      </w:r>
      <w:r>
        <w:rPr>
          <w:noProof/>
        </w:rPr>
        <w:tab/>
      </w:r>
      <w:r>
        <w:rPr>
          <w:noProof/>
        </w:rPr>
        <w:fldChar w:fldCharType="begin"/>
      </w:r>
      <w:r>
        <w:rPr>
          <w:noProof/>
        </w:rPr>
        <w:instrText xml:space="preserve"> PAGEREF _Toc338703891 \h </w:instrText>
      </w:r>
      <w:r>
        <w:rPr>
          <w:noProof/>
        </w:rPr>
      </w:r>
      <w:r>
        <w:rPr>
          <w:noProof/>
        </w:rPr>
        <w:fldChar w:fldCharType="separate"/>
      </w:r>
      <w:r>
        <w:rPr>
          <w:noProof/>
        </w:rPr>
        <w:t>77</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113. ALCES output graph indicating different risk categories to ecological indicators.</w:t>
      </w:r>
      <w:r>
        <w:rPr>
          <w:noProof/>
        </w:rPr>
        <w:tab/>
      </w:r>
      <w:r>
        <w:rPr>
          <w:noProof/>
        </w:rPr>
        <w:fldChar w:fldCharType="begin"/>
      </w:r>
      <w:r>
        <w:rPr>
          <w:noProof/>
        </w:rPr>
        <w:instrText xml:space="preserve"> PAGEREF _Toc338703892 \h </w:instrText>
      </w:r>
      <w:r>
        <w:rPr>
          <w:noProof/>
        </w:rPr>
      </w:r>
      <w:r>
        <w:rPr>
          <w:noProof/>
        </w:rPr>
        <w:fldChar w:fldCharType="separate"/>
      </w:r>
      <w:r>
        <w:rPr>
          <w:noProof/>
        </w:rPr>
        <w:t>86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114. Example of typical ALCES graphic output illustrating simulation length, range of natural variability (RNV), key events, and performance of an indicator relative to RNV.</w:t>
      </w:r>
      <w:r>
        <w:rPr>
          <w:noProof/>
        </w:rPr>
        <w:tab/>
      </w:r>
      <w:r>
        <w:rPr>
          <w:noProof/>
        </w:rPr>
        <w:fldChar w:fldCharType="begin"/>
      </w:r>
      <w:r>
        <w:rPr>
          <w:noProof/>
        </w:rPr>
        <w:instrText xml:space="preserve"> PAGEREF _Toc338703893 \h </w:instrText>
      </w:r>
      <w:r>
        <w:rPr>
          <w:noProof/>
        </w:rPr>
      </w:r>
      <w:r>
        <w:rPr>
          <w:noProof/>
        </w:rPr>
        <w:fldChar w:fldCharType="separate"/>
      </w:r>
      <w:r>
        <w:rPr>
          <w:noProof/>
        </w:rPr>
        <w:t>89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115. Distribution of land-use footprint types within landscape types of CLFN SA.</w:t>
      </w:r>
      <w:r>
        <w:rPr>
          <w:noProof/>
        </w:rPr>
        <w:tab/>
      </w:r>
      <w:r>
        <w:rPr>
          <w:noProof/>
        </w:rPr>
        <w:fldChar w:fldCharType="begin"/>
      </w:r>
      <w:r>
        <w:rPr>
          <w:noProof/>
        </w:rPr>
        <w:instrText xml:space="preserve"> PAGEREF _Toc338703894 \h </w:instrText>
      </w:r>
      <w:r>
        <w:rPr>
          <w:noProof/>
        </w:rPr>
      </w:r>
      <w:r>
        <w:rPr>
          <w:noProof/>
        </w:rPr>
        <w:fldChar w:fldCharType="separate"/>
      </w:r>
      <w:r>
        <w:rPr>
          <w:noProof/>
        </w:rPr>
        <w:t>94</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116. Historical time series of wellsites in the CLFN SA at a quarter township scale.</w:t>
      </w:r>
      <w:r>
        <w:rPr>
          <w:noProof/>
        </w:rPr>
        <w:tab/>
      </w:r>
      <w:r>
        <w:rPr>
          <w:noProof/>
        </w:rPr>
        <w:fldChar w:fldCharType="begin"/>
      </w:r>
      <w:r>
        <w:rPr>
          <w:noProof/>
        </w:rPr>
        <w:instrText xml:space="preserve"> PAGEREF _Toc338703895 \h </w:instrText>
      </w:r>
      <w:r>
        <w:rPr>
          <w:noProof/>
        </w:rPr>
      </w:r>
      <w:r>
        <w:rPr>
          <w:noProof/>
        </w:rPr>
        <w:fldChar w:fldCharType="separate"/>
      </w:r>
      <w:r>
        <w:rPr>
          <w:noProof/>
        </w:rPr>
        <w:t>94</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117. Spatial constraint inclusionary maps used for the ALCES simulator for CLFN SA.</w:t>
      </w:r>
      <w:r>
        <w:rPr>
          <w:noProof/>
        </w:rPr>
        <w:tab/>
      </w:r>
      <w:r>
        <w:rPr>
          <w:noProof/>
        </w:rPr>
        <w:fldChar w:fldCharType="begin"/>
      </w:r>
      <w:r>
        <w:rPr>
          <w:noProof/>
        </w:rPr>
        <w:instrText xml:space="preserve"> PAGEREF _Toc338703896 \h </w:instrText>
      </w:r>
      <w:r>
        <w:rPr>
          <w:noProof/>
        </w:rPr>
      </w:r>
      <w:r>
        <w:rPr>
          <w:noProof/>
        </w:rPr>
        <w:fldChar w:fldCharType="separate"/>
      </w:r>
      <w:r>
        <w:rPr>
          <w:noProof/>
        </w:rPr>
        <w:t>96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118. Generalized CLFN Sustainability Index used in the CLFN ALCES simulator.</w:t>
      </w:r>
      <w:r>
        <w:rPr>
          <w:noProof/>
        </w:rPr>
        <w:tab/>
      </w:r>
      <w:r>
        <w:rPr>
          <w:noProof/>
        </w:rPr>
        <w:fldChar w:fldCharType="begin"/>
      </w:r>
      <w:r>
        <w:rPr>
          <w:noProof/>
        </w:rPr>
        <w:instrText xml:space="preserve"> PAGEREF _Toc338703897 \h </w:instrText>
      </w:r>
      <w:r>
        <w:rPr>
          <w:noProof/>
        </w:rPr>
      </w:r>
      <w:r>
        <w:rPr>
          <w:noProof/>
        </w:rPr>
        <w:fldChar w:fldCharType="separate"/>
      </w:r>
      <w:r>
        <w:rPr>
          <w:noProof/>
        </w:rPr>
        <w:t>99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119. Generalized crop sector impact hypothesis diagram in the CLFN ALCES simulator.</w:t>
      </w:r>
      <w:r>
        <w:rPr>
          <w:noProof/>
        </w:rPr>
        <w:tab/>
      </w:r>
      <w:r>
        <w:rPr>
          <w:noProof/>
        </w:rPr>
        <w:fldChar w:fldCharType="begin"/>
      </w:r>
      <w:r>
        <w:rPr>
          <w:noProof/>
        </w:rPr>
        <w:instrText xml:space="preserve"> PAGEREF _Toc338703898 \h </w:instrText>
      </w:r>
      <w:r>
        <w:rPr>
          <w:noProof/>
        </w:rPr>
      </w:r>
      <w:r>
        <w:rPr>
          <w:noProof/>
        </w:rPr>
        <w:fldChar w:fldCharType="separate"/>
      </w:r>
      <w:r>
        <w:rPr>
          <w:noProof/>
        </w:rPr>
        <w:t>100</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120. Generalized diagram of Hubbert-Naill Life History hydrocarbon development trajectory as used in the CLFN ALCES simulator.</w:t>
      </w:r>
      <w:r>
        <w:rPr>
          <w:noProof/>
        </w:rPr>
        <w:tab/>
      </w:r>
      <w:r>
        <w:rPr>
          <w:noProof/>
        </w:rPr>
        <w:fldChar w:fldCharType="begin"/>
      </w:r>
      <w:r>
        <w:rPr>
          <w:noProof/>
        </w:rPr>
        <w:instrText xml:space="preserve"> PAGEREF _Toc338703899 \h </w:instrText>
      </w:r>
      <w:r>
        <w:rPr>
          <w:noProof/>
        </w:rPr>
      </w:r>
      <w:r>
        <w:rPr>
          <w:noProof/>
        </w:rPr>
        <w:fldChar w:fldCharType="separate"/>
      </w:r>
      <w:r>
        <w:rPr>
          <w:noProof/>
        </w:rPr>
        <w:t>102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121. Current oilsand leases on CLFN traditional lands. Source: Alberta Energy.</w:t>
      </w:r>
      <w:r>
        <w:rPr>
          <w:noProof/>
        </w:rPr>
        <w:tab/>
      </w:r>
      <w:r>
        <w:rPr>
          <w:noProof/>
        </w:rPr>
        <w:fldChar w:fldCharType="begin"/>
      </w:r>
      <w:r>
        <w:rPr>
          <w:noProof/>
        </w:rPr>
        <w:instrText xml:space="preserve"> PAGEREF _Toc338703900 \h </w:instrText>
      </w:r>
      <w:r>
        <w:rPr>
          <w:noProof/>
        </w:rPr>
      </w:r>
      <w:r>
        <w:rPr>
          <w:noProof/>
        </w:rPr>
        <w:fldChar w:fldCharType="separate"/>
      </w:r>
      <w:r>
        <w:rPr>
          <w:noProof/>
        </w:rPr>
        <w:t>103</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122. Hydrocarbon reserve metrics for CLFN SA. Source: Birchwood Resources, 2012.</w:t>
      </w:r>
      <w:r>
        <w:rPr>
          <w:noProof/>
        </w:rPr>
        <w:tab/>
      </w:r>
      <w:r>
        <w:rPr>
          <w:noProof/>
        </w:rPr>
        <w:fldChar w:fldCharType="begin"/>
      </w:r>
      <w:r>
        <w:rPr>
          <w:noProof/>
        </w:rPr>
        <w:instrText xml:space="preserve"> PAGEREF _Toc338703901 \h </w:instrText>
      </w:r>
      <w:r>
        <w:rPr>
          <w:noProof/>
        </w:rPr>
      </w:r>
      <w:r>
        <w:rPr>
          <w:noProof/>
        </w:rPr>
        <w:fldChar w:fldCharType="separate"/>
      </w:r>
      <w:r>
        <w:rPr>
          <w:noProof/>
        </w:rPr>
        <w:t>103</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123. General reserve volume information of the Upper and Lower Grand Rapids deposits.</w:t>
      </w:r>
      <w:r>
        <w:rPr>
          <w:noProof/>
        </w:rPr>
        <w:tab/>
      </w:r>
      <w:r>
        <w:rPr>
          <w:noProof/>
        </w:rPr>
        <w:fldChar w:fldCharType="begin"/>
      </w:r>
      <w:r>
        <w:rPr>
          <w:noProof/>
        </w:rPr>
        <w:instrText xml:space="preserve"> PAGEREF _Toc338703902 \h </w:instrText>
      </w:r>
      <w:r>
        <w:rPr>
          <w:noProof/>
        </w:rPr>
      </w:r>
      <w:r>
        <w:rPr>
          <w:noProof/>
        </w:rPr>
        <w:fldChar w:fldCharType="separate"/>
      </w:r>
      <w:r>
        <w:rPr>
          <w:noProof/>
        </w:rPr>
        <w:t>104</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124. General reserve volume information of the Cold Lake Clearwater deposit.</w:t>
      </w:r>
      <w:r>
        <w:rPr>
          <w:noProof/>
        </w:rPr>
        <w:tab/>
      </w:r>
      <w:r>
        <w:rPr>
          <w:noProof/>
        </w:rPr>
        <w:fldChar w:fldCharType="begin"/>
      </w:r>
      <w:r>
        <w:rPr>
          <w:noProof/>
        </w:rPr>
        <w:instrText xml:space="preserve"> PAGEREF _Toc338703903 \h </w:instrText>
      </w:r>
      <w:r>
        <w:rPr>
          <w:noProof/>
        </w:rPr>
      </w:r>
      <w:r>
        <w:rPr>
          <w:noProof/>
        </w:rPr>
        <w:fldChar w:fldCharType="separate"/>
      </w:r>
      <w:r>
        <w:rPr>
          <w:noProof/>
        </w:rPr>
        <w:t>104</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lastRenderedPageBreak/>
        <w:t>Figure 125. General reserve volume information of the Wabiskaw McMurray deposit.</w:t>
      </w:r>
      <w:r>
        <w:rPr>
          <w:noProof/>
        </w:rPr>
        <w:tab/>
      </w:r>
      <w:r>
        <w:rPr>
          <w:noProof/>
        </w:rPr>
        <w:fldChar w:fldCharType="begin"/>
      </w:r>
      <w:r>
        <w:rPr>
          <w:noProof/>
        </w:rPr>
        <w:instrText xml:space="preserve"> PAGEREF _Toc338703904 \h </w:instrText>
      </w:r>
      <w:r>
        <w:rPr>
          <w:noProof/>
        </w:rPr>
      </w:r>
      <w:r>
        <w:rPr>
          <w:noProof/>
        </w:rPr>
        <w:fldChar w:fldCharType="separate"/>
      </w:r>
      <w:r>
        <w:rPr>
          <w:noProof/>
        </w:rPr>
        <w:t>105</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126. Overlay of individual deposits (Upper and Lower Grand Rapids, Cold Lake Clearwater and Wabiskaw/Ft. McMurray) (left) and composite map used to confine future growth of wells on CLFN SA.</w:t>
      </w:r>
      <w:r>
        <w:rPr>
          <w:noProof/>
        </w:rPr>
        <w:tab/>
      </w:r>
      <w:r>
        <w:rPr>
          <w:noProof/>
        </w:rPr>
        <w:fldChar w:fldCharType="begin"/>
      </w:r>
      <w:r>
        <w:rPr>
          <w:noProof/>
        </w:rPr>
        <w:instrText xml:space="preserve"> PAGEREF _Toc338703905 \h </w:instrText>
      </w:r>
      <w:r>
        <w:rPr>
          <w:noProof/>
        </w:rPr>
      </w:r>
      <w:r>
        <w:rPr>
          <w:noProof/>
        </w:rPr>
        <w:fldChar w:fldCharType="separate"/>
      </w:r>
      <w:r>
        <w:rPr>
          <w:noProof/>
        </w:rPr>
        <w:t>105</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127. Comparison of composite CLFN SA map heavy oil/bitumen with existing bitumen and heavy oil wells in the Cold Lake region of Alberta.</w:t>
      </w:r>
      <w:r>
        <w:rPr>
          <w:noProof/>
        </w:rPr>
        <w:tab/>
      </w:r>
      <w:r>
        <w:rPr>
          <w:noProof/>
        </w:rPr>
        <w:fldChar w:fldCharType="begin"/>
      </w:r>
      <w:r>
        <w:rPr>
          <w:noProof/>
        </w:rPr>
        <w:instrText xml:space="preserve"> PAGEREF _Toc338703906 \h </w:instrText>
      </w:r>
      <w:r>
        <w:rPr>
          <w:noProof/>
        </w:rPr>
      </w:r>
      <w:r>
        <w:rPr>
          <w:noProof/>
        </w:rPr>
        <w:fldChar w:fldCharType="separate"/>
      </w:r>
      <w:r>
        <w:rPr>
          <w:noProof/>
        </w:rPr>
        <w:t>106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128. Heavy oil and bitumen reserve data relating to CLFN SA provided by Birchwood Resources.</w:t>
      </w:r>
      <w:r>
        <w:rPr>
          <w:noProof/>
        </w:rPr>
        <w:tab/>
      </w:r>
      <w:r>
        <w:rPr>
          <w:noProof/>
        </w:rPr>
        <w:fldChar w:fldCharType="begin"/>
      </w:r>
      <w:r>
        <w:rPr>
          <w:noProof/>
        </w:rPr>
        <w:instrText xml:space="preserve"> PAGEREF _Toc338703907 \h </w:instrText>
      </w:r>
      <w:r>
        <w:rPr>
          <w:noProof/>
        </w:rPr>
      </w:r>
      <w:r>
        <w:rPr>
          <w:noProof/>
        </w:rPr>
        <w:fldChar w:fldCharType="separate"/>
      </w:r>
      <w:r>
        <w:rPr>
          <w:noProof/>
        </w:rPr>
        <w:t>106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129. Well and wellpad metrics used in CLFN SA ALCES simulator. Source: Birchwood Resources, Calgary, Alberta, 2012.</w:t>
      </w:r>
      <w:r>
        <w:rPr>
          <w:noProof/>
        </w:rPr>
        <w:tab/>
      </w:r>
      <w:r>
        <w:rPr>
          <w:noProof/>
        </w:rPr>
        <w:fldChar w:fldCharType="begin"/>
      </w:r>
      <w:r>
        <w:rPr>
          <w:noProof/>
        </w:rPr>
        <w:instrText xml:space="preserve"> PAGEREF _Toc338703908 \h </w:instrText>
      </w:r>
      <w:r>
        <w:rPr>
          <w:noProof/>
        </w:rPr>
      </w:r>
      <w:r>
        <w:rPr>
          <w:noProof/>
        </w:rPr>
        <w:fldChar w:fldCharType="separate"/>
      </w:r>
      <w:r>
        <w:rPr>
          <w:noProof/>
        </w:rPr>
        <w:t>107</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130. Seismic line and pipeline metrics in CLFN SA Alces simulator: Source: Birchwood Resources, Calgary, Alberta, 2012.</w:t>
      </w:r>
      <w:r>
        <w:rPr>
          <w:noProof/>
        </w:rPr>
        <w:tab/>
      </w:r>
      <w:r>
        <w:rPr>
          <w:noProof/>
        </w:rPr>
        <w:fldChar w:fldCharType="begin"/>
      </w:r>
      <w:r>
        <w:rPr>
          <w:noProof/>
        </w:rPr>
        <w:instrText xml:space="preserve"> PAGEREF _Toc338703909 \h </w:instrText>
      </w:r>
      <w:r>
        <w:rPr>
          <w:noProof/>
        </w:rPr>
      </w:r>
      <w:r>
        <w:rPr>
          <w:noProof/>
        </w:rPr>
        <w:fldChar w:fldCharType="separate"/>
      </w:r>
      <w:r>
        <w:rPr>
          <w:noProof/>
        </w:rPr>
        <w:t>107</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131. Summary of heavy oil and bitumen volume metrics in CLFN SA. Source: Birchwood Resources, Calgary, Alberta.</w:t>
      </w:r>
      <w:r>
        <w:rPr>
          <w:noProof/>
        </w:rPr>
        <w:tab/>
      </w:r>
      <w:r>
        <w:rPr>
          <w:noProof/>
        </w:rPr>
        <w:fldChar w:fldCharType="begin"/>
      </w:r>
      <w:r>
        <w:rPr>
          <w:noProof/>
        </w:rPr>
        <w:instrText xml:space="preserve"> PAGEREF _Toc338703910 \h </w:instrText>
      </w:r>
      <w:r>
        <w:rPr>
          <w:noProof/>
        </w:rPr>
      </w:r>
      <w:r>
        <w:rPr>
          <w:noProof/>
        </w:rPr>
        <w:fldChar w:fldCharType="separate"/>
      </w:r>
      <w:r>
        <w:rPr>
          <w:noProof/>
        </w:rPr>
        <w:t>108</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132. Changes in annual bitumen production (</w:t>
      </w:r>
      <w:r w:rsidRPr="00CE438D">
        <w:rPr>
          <w:noProof/>
          <w:lang w:val="en-US"/>
        </w:rPr>
        <w:t>m</w:t>
      </w:r>
      <w:r w:rsidRPr="00CE438D">
        <w:rPr>
          <w:noProof/>
          <w:vertAlign w:val="superscript"/>
          <w:lang w:val="en-US"/>
        </w:rPr>
        <w:t>3</w:t>
      </w:r>
      <w:r>
        <w:rPr>
          <w:noProof/>
        </w:rPr>
        <w:t>/yr) in CLFN SA.</w:t>
      </w:r>
      <w:r>
        <w:rPr>
          <w:noProof/>
        </w:rPr>
        <w:tab/>
      </w:r>
      <w:r>
        <w:rPr>
          <w:noProof/>
        </w:rPr>
        <w:fldChar w:fldCharType="begin"/>
      </w:r>
      <w:r>
        <w:rPr>
          <w:noProof/>
        </w:rPr>
        <w:instrText xml:space="preserve"> PAGEREF _Toc338703911 \h </w:instrText>
      </w:r>
      <w:r>
        <w:rPr>
          <w:noProof/>
        </w:rPr>
      </w:r>
      <w:r>
        <w:rPr>
          <w:noProof/>
        </w:rPr>
        <w:fldChar w:fldCharType="separate"/>
      </w:r>
      <w:r>
        <w:rPr>
          <w:noProof/>
        </w:rPr>
        <w:t>112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133. Changes in annual bitumen production (barrels/day) in CLFN SA.</w:t>
      </w:r>
      <w:r>
        <w:rPr>
          <w:noProof/>
        </w:rPr>
        <w:tab/>
      </w:r>
      <w:r>
        <w:rPr>
          <w:noProof/>
        </w:rPr>
        <w:fldChar w:fldCharType="begin"/>
      </w:r>
      <w:r>
        <w:rPr>
          <w:noProof/>
        </w:rPr>
        <w:instrText xml:space="preserve"> PAGEREF _Toc338703912 \h </w:instrText>
      </w:r>
      <w:r>
        <w:rPr>
          <w:noProof/>
        </w:rPr>
      </w:r>
      <w:r>
        <w:rPr>
          <w:noProof/>
        </w:rPr>
        <w:fldChar w:fldCharType="separate"/>
      </w:r>
      <w:r>
        <w:rPr>
          <w:noProof/>
        </w:rPr>
        <w:t>112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134. Changes in annual bitumen production (</w:t>
      </w:r>
      <w:r w:rsidRPr="00CE438D">
        <w:rPr>
          <w:noProof/>
          <w:lang w:val="en-US"/>
        </w:rPr>
        <w:t>m</w:t>
      </w:r>
      <w:r w:rsidRPr="00CE438D">
        <w:rPr>
          <w:noProof/>
          <w:vertAlign w:val="superscript"/>
          <w:lang w:val="en-US"/>
        </w:rPr>
        <w:t>3</w:t>
      </w:r>
      <w:r>
        <w:rPr>
          <w:noProof/>
        </w:rPr>
        <w:t>/yr) from different oil extraction technologies in CLFN SA.</w:t>
      </w:r>
      <w:r>
        <w:rPr>
          <w:noProof/>
        </w:rPr>
        <w:tab/>
      </w:r>
      <w:r>
        <w:rPr>
          <w:noProof/>
        </w:rPr>
        <w:fldChar w:fldCharType="begin"/>
      </w:r>
      <w:r>
        <w:rPr>
          <w:noProof/>
        </w:rPr>
        <w:instrText xml:space="preserve"> PAGEREF _Toc338703913 \h </w:instrText>
      </w:r>
      <w:r>
        <w:rPr>
          <w:noProof/>
        </w:rPr>
      </w:r>
      <w:r>
        <w:rPr>
          <w:noProof/>
        </w:rPr>
        <w:fldChar w:fldCharType="separate"/>
      </w:r>
      <w:r>
        <w:rPr>
          <w:noProof/>
        </w:rPr>
        <w:t>113</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135. Changes in cumulative bitumen production in CLFN SA.</w:t>
      </w:r>
      <w:r>
        <w:rPr>
          <w:noProof/>
        </w:rPr>
        <w:tab/>
      </w:r>
      <w:r>
        <w:rPr>
          <w:noProof/>
        </w:rPr>
        <w:fldChar w:fldCharType="begin"/>
      </w:r>
      <w:r>
        <w:rPr>
          <w:noProof/>
        </w:rPr>
        <w:instrText xml:space="preserve"> PAGEREF _Toc338703914 \h </w:instrText>
      </w:r>
      <w:r>
        <w:rPr>
          <w:noProof/>
        </w:rPr>
      </w:r>
      <w:r>
        <w:rPr>
          <w:noProof/>
        </w:rPr>
        <w:fldChar w:fldCharType="separate"/>
      </w:r>
      <w:r>
        <w:rPr>
          <w:noProof/>
        </w:rPr>
        <w:t>113</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136. Changes in cumulative oil and bitumen production in CLFN SA.</w:t>
      </w:r>
      <w:r>
        <w:rPr>
          <w:noProof/>
        </w:rPr>
        <w:tab/>
      </w:r>
      <w:r>
        <w:rPr>
          <w:noProof/>
        </w:rPr>
        <w:fldChar w:fldCharType="begin"/>
      </w:r>
      <w:r>
        <w:rPr>
          <w:noProof/>
        </w:rPr>
        <w:instrText xml:space="preserve"> PAGEREF _Toc338703915 \h </w:instrText>
      </w:r>
      <w:r>
        <w:rPr>
          <w:noProof/>
        </w:rPr>
      </w:r>
      <w:r>
        <w:rPr>
          <w:noProof/>
        </w:rPr>
        <w:fldChar w:fldCharType="separate"/>
      </w:r>
      <w:r>
        <w:rPr>
          <w:noProof/>
        </w:rPr>
        <w:t>114</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137. Changes in annual bitumen revenues in CLFN SA.</w:t>
      </w:r>
      <w:r>
        <w:rPr>
          <w:noProof/>
        </w:rPr>
        <w:tab/>
      </w:r>
      <w:r>
        <w:rPr>
          <w:noProof/>
        </w:rPr>
        <w:fldChar w:fldCharType="begin"/>
      </w:r>
      <w:r>
        <w:rPr>
          <w:noProof/>
        </w:rPr>
        <w:instrText xml:space="preserve"> PAGEREF _Toc338703916 \h </w:instrText>
      </w:r>
      <w:r>
        <w:rPr>
          <w:noProof/>
        </w:rPr>
      </w:r>
      <w:r>
        <w:rPr>
          <w:noProof/>
        </w:rPr>
        <w:fldChar w:fldCharType="separate"/>
      </w:r>
      <w:r>
        <w:rPr>
          <w:noProof/>
        </w:rPr>
        <w:t>116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138. Cumulative bitumen revenues in CLFN SA.</w:t>
      </w:r>
      <w:r>
        <w:rPr>
          <w:noProof/>
        </w:rPr>
        <w:tab/>
      </w:r>
      <w:r>
        <w:rPr>
          <w:noProof/>
        </w:rPr>
        <w:fldChar w:fldCharType="begin"/>
      </w:r>
      <w:r>
        <w:rPr>
          <w:noProof/>
        </w:rPr>
        <w:instrText xml:space="preserve"> PAGEREF _Toc338703917 \h </w:instrText>
      </w:r>
      <w:r>
        <w:rPr>
          <w:noProof/>
        </w:rPr>
      </w:r>
      <w:r>
        <w:rPr>
          <w:noProof/>
        </w:rPr>
        <w:fldChar w:fldCharType="separate"/>
      </w:r>
      <w:r>
        <w:rPr>
          <w:noProof/>
        </w:rPr>
        <w:t>116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139. Changes in annual bitumen revenues in CLFN SA using a scenario exploring revenue sharing with CLFN.</w:t>
      </w:r>
      <w:r>
        <w:rPr>
          <w:noProof/>
        </w:rPr>
        <w:tab/>
      </w:r>
      <w:r>
        <w:rPr>
          <w:noProof/>
        </w:rPr>
        <w:fldChar w:fldCharType="begin"/>
      </w:r>
      <w:r>
        <w:rPr>
          <w:noProof/>
        </w:rPr>
        <w:instrText xml:space="preserve"> PAGEREF _Toc338703918 \h </w:instrText>
      </w:r>
      <w:r>
        <w:rPr>
          <w:noProof/>
        </w:rPr>
      </w:r>
      <w:r>
        <w:rPr>
          <w:noProof/>
        </w:rPr>
        <w:fldChar w:fldCharType="separate"/>
      </w:r>
      <w:r>
        <w:rPr>
          <w:noProof/>
        </w:rPr>
        <w:t>117</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140. Changes in cumulative bitumen revenues in CLFN SA using a scenario exploring revenue sharing with CLFN.</w:t>
      </w:r>
      <w:r>
        <w:rPr>
          <w:noProof/>
        </w:rPr>
        <w:tab/>
      </w:r>
      <w:r>
        <w:rPr>
          <w:noProof/>
        </w:rPr>
        <w:fldChar w:fldCharType="begin"/>
      </w:r>
      <w:r>
        <w:rPr>
          <w:noProof/>
        </w:rPr>
        <w:instrText xml:space="preserve"> PAGEREF _Toc338703919 \h </w:instrText>
      </w:r>
      <w:r>
        <w:rPr>
          <w:noProof/>
        </w:rPr>
      </w:r>
      <w:r>
        <w:rPr>
          <w:noProof/>
        </w:rPr>
        <w:fldChar w:fldCharType="separate"/>
      </w:r>
      <w:r>
        <w:rPr>
          <w:noProof/>
        </w:rPr>
        <w:t>117</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141. Changes in cumulative bitumen revenues in CLFN SA using a scenario exploring revenue sharing with CLFN. Revenues for both industry and CLFN are expressed at identical scale to emphasize relative differences in revenue.</w:t>
      </w:r>
      <w:r>
        <w:rPr>
          <w:noProof/>
        </w:rPr>
        <w:tab/>
      </w:r>
      <w:r>
        <w:rPr>
          <w:noProof/>
        </w:rPr>
        <w:fldChar w:fldCharType="begin"/>
      </w:r>
      <w:r>
        <w:rPr>
          <w:noProof/>
        </w:rPr>
        <w:instrText xml:space="preserve"> PAGEREF _Toc338703920 \h </w:instrText>
      </w:r>
      <w:r>
        <w:rPr>
          <w:noProof/>
        </w:rPr>
      </w:r>
      <w:r>
        <w:rPr>
          <w:noProof/>
        </w:rPr>
        <w:fldChar w:fldCharType="separate"/>
      </w:r>
      <w:r>
        <w:rPr>
          <w:noProof/>
        </w:rPr>
        <w:t>118</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142. Changes in bitumen-related employment in CLFN SA.</w:t>
      </w:r>
      <w:r>
        <w:rPr>
          <w:noProof/>
        </w:rPr>
        <w:tab/>
      </w:r>
      <w:r>
        <w:rPr>
          <w:noProof/>
        </w:rPr>
        <w:fldChar w:fldCharType="begin"/>
      </w:r>
      <w:r>
        <w:rPr>
          <w:noProof/>
        </w:rPr>
        <w:instrText xml:space="preserve"> PAGEREF _Toc338703921 \h </w:instrText>
      </w:r>
      <w:r>
        <w:rPr>
          <w:noProof/>
        </w:rPr>
      </w:r>
      <w:r>
        <w:rPr>
          <w:noProof/>
        </w:rPr>
        <w:fldChar w:fldCharType="separate"/>
      </w:r>
      <w:r>
        <w:rPr>
          <w:noProof/>
        </w:rPr>
        <w:t>119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143. Cumulative number of job-years relating to bitumen production in CLFN SA.</w:t>
      </w:r>
      <w:r>
        <w:rPr>
          <w:noProof/>
        </w:rPr>
        <w:tab/>
      </w:r>
      <w:r>
        <w:rPr>
          <w:noProof/>
        </w:rPr>
        <w:fldChar w:fldCharType="begin"/>
      </w:r>
      <w:r>
        <w:rPr>
          <w:noProof/>
        </w:rPr>
        <w:instrText xml:space="preserve"> PAGEREF _Toc338703922 \h </w:instrText>
      </w:r>
      <w:r>
        <w:rPr>
          <w:noProof/>
        </w:rPr>
      </w:r>
      <w:r>
        <w:rPr>
          <w:noProof/>
        </w:rPr>
        <w:fldChar w:fldCharType="separate"/>
      </w:r>
      <w:r>
        <w:rPr>
          <w:noProof/>
        </w:rPr>
        <w:t>119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144. Changes in landscape and land-use classes in CLFN SA.</w:t>
      </w:r>
      <w:r>
        <w:rPr>
          <w:noProof/>
        </w:rPr>
        <w:tab/>
      </w:r>
      <w:r>
        <w:rPr>
          <w:noProof/>
        </w:rPr>
        <w:fldChar w:fldCharType="begin"/>
      </w:r>
      <w:r>
        <w:rPr>
          <w:noProof/>
        </w:rPr>
        <w:instrText xml:space="preserve"> PAGEREF _Toc338703923 \h </w:instrText>
      </w:r>
      <w:r>
        <w:rPr>
          <w:noProof/>
        </w:rPr>
      </w:r>
      <w:r>
        <w:rPr>
          <w:noProof/>
        </w:rPr>
        <w:fldChar w:fldCharType="separate"/>
      </w:r>
      <w:r>
        <w:rPr>
          <w:noProof/>
        </w:rPr>
        <w:t>122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145. Changes in land-use classes in CLFN SA.</w:t>
      </w:r>
      <w:r>
        <w:rPr>
          <w:noProof/>
        </w:rPr>
        <w:tab/>
      </w:r>
      <w:r>
        <w:rPr>
          <w:noProof/>
        </w:rPr>
        <w:fldChar w:fldCharType="begin"/>
      </w:r>
      <w:r>
        <w:rPr>
          <w:noProof/>
        </w:rPr>
        <w:instrText xml:space="preserve"> PAGEREF _Toc338703924 \h </w:instrText>
      </w:r>
      <w:r>
        <w:rPr>
          <w:noProof/>
        </w:rPr>
      </w:r>
      <w:r>
        <w:rPr>
          <w:noProof/>
        </w:rPr>
        <w:fldChar w:fldCharType="separate"/>
      </w:r>
      <w:r>
        <w:rPr>
          <w:noProof/>
        </w:rPr>
        <w:t>123</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146. Historical, current and future changes in gross and net land-use class area in CLFN SA.</w:t>
      </w:r>
      <w:r>
        <w:rPr>
          <w:noProof/>
        </w:rPr>
        <w:tab/>
      </w:r>
      <w:r>
        <w:rPr>
          <w:noProof/>
        </w:rPr>
        <w:fldChar w:fldCharType="begin"/>
      </w:r>
      <w:r>
        <w:rPr>
          <w:noProof/>
        </w:rPr>
        <w:instrText xml:space="preserve"> PAGEREF _Toc338703925 \h </w:instrText>
      </w:r>
      <w:r>
        <w:rPr>
          <w:noProof/>
        </w:rPr>
      </w:r>
      <w:r>
        <w:rPr>
          <w:noProof/>
        </w:rPr>
        <w:fldChar w:fldCharType="separate"/>
      </w:r>
      <w:r>
        <w:rPr>
          <w:noProof/>
        </w:rPr>
        <w:t>123</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147. An example of a “reclaimed” industrial site on CLFN SA. Establishment of vegetative cover does not necessarily imply that natural plant community succession will occur.</w:t>
      </w:r>
      <w:r>
        <w:rPr>
          <w:noProof/>
        </w:rPr>
        <w:tab/>
      </w:r>
      <w:r>
        <w:rPr>
          <w:noProof/>
        </w:rPr>
        <w:fldChar w:fldCharType="begin"/>
      </w:r>
      <w:r>
        <w:rPr>
          <w:noProof/>
        </w:rPr>
        <w:instrText xml:space="preserve"> PAGEREF _Toc338703926 \h </w:instrText>
      </w:r>
      <w:r>
        <w:rPr>
          <w:noProof/>
        </w:rPr>
      </w:r>
      <w:r>
        <w:rPr>
          <w:noProof/>
        </w:rPr>
        <w:fldChar w:fldCharType="separate"/>
      </w:r>
      <w:r>
        <w:rPr>
          <w:noProof/>
        </w:rPr>
        <w:t>124</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148. Changes in net land-use footprint edge (km/km</w:t>
      </w:r>
      <w:r w:rsidRPr="00CE438D">
        <w:rPr>
          <w:noProof/>
          <w:vertAlign w:val="superscript"/>
        </w:rPr>
        <w:t>2</w:t>
      </w:r>
      <w:r>
        <w:rPr>
          <w:noProof/>
        </w:rPr>
        <w:t>) in CLFN SA. Edge includes the boundaries of all footprint types from each land-uses of energy, agriculture, transportation, and settlements.</w:t>
      </w:r>
      <w:r>
        <w:rPr>
          <w:noProof/>
        </w:rPr>
        <w:tab/>
      </w:r>
      <w:r>
        <w:rPr>
          <w:noProof/>
        </w:rPr>
        <w:fldChar w:fldCharType="begin"/>
      </w:r>
      <w:r>
        <w:rPr>
          <w:noProof/>
        </w:rPr>
        <w:instrText xml:space="preserve"> PAGEREF _Toc338703927 \h </w:instrText>
      </w:r>
      <w:r>
        <w:rPr>
          <w:noProof/>
        </w:rPr>
      </w:r>
      <w:r>
        <w:rPr>
          <w:noProof/>
        </w:rPr>
        <w:fldChar w:fldCharType="separate"/>
      </w:r>
      <w:r>
        <w:rPr>
          <w:noProof/>
        </w:rPr>
        <w:t>124</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149. Example of edge density created by footprints associate with the extraction of bitumen and heavy oil in CLFN SA. Source: Google Earth.</w:t>
      </w:r>
      <w:r>
        <w:rPr>
          <w:noProof/>
        </w:rPr>
        <w:tab/>
      </w:r>
      <w:r>
        <w:rPr>
          <w:noProof/>
        </w:rPr>
        <w:fldChar w:fldCharType="begin"/>
      </w:r>
      <w:r>
        <w:rPr>
          <w:noProof/>
        </w:rPr>
        <w:instrText xml:space="preserve"> PAGEREF _Toc338703928 \h </w:instrText>
      </w:r>
      <w:r>
        <w:rPr>
          <w:noProof/>
        </w:rPr>
      </w:r>
      <w:r>
        <w:rPr>
          <w:noProof/>
        </w:rPr>
        <w:fldChar w:fldCharType="separate"/>
      </w:r>
      <w:r>
        <w:rPr>
          <w:noProof/>
        </w:rPr>
        <w:t>125</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lastRenderedPageBreak/>
        <w:t>Figure 150. Example of edge density created by footprints associate with the extraction of bitumen and heavy oil in CLFN SA. Source: Google Earth.</w:t>
      </w:r>
      <w:r>
        <w:rPr>
          <w:noProof/>
        </w:rPr>
        <w:tab/>
      </w:r>
      <w:r>
        <w:rPr>
          <w:noProof/>
        </w:rPr>
        <w:fldChar w:fldCharType="begin"/>
      </w:r>
      <w:r>
        <w:rPr>
          <w:noProof/>
        </w:rPr>
        <w:instrText xml:space="preserve"> PAGEREF _Toc338703929 \h </w:instrText>
      </w:r>
      <w:r>
        <w:rPr>
          <w:noProof/>
        </w:rPr>
      </w:r>
      <w:r>
        <w:rPr>
          <w:noProof/>
        </w:rPr>
        <w:fldChar w:fldCharType="separate"/>
      </w:r>
      <w:r>
        <w:rPr>
          <w:noProof/>
        </w:rPr>
        <w:t>125</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151. Historical change in anthropogenic area (%) on CLFN SA.</w:t>
      </w:r>
      <w:r>
        <w:rPr>
          <w:noProof/>
        </w:rPr>
        <w:tab/>
      </w:r>
      <w:r>
        <w:rPr>
          <w:noProof/>
        </w:rPr>
        <w:fldChar w:fldCharType="begin"/>
      </w:r>
      <w:r>
        <w:rPr>
          <w:noProof/>
        </w:rPr>
        <w:instrText xml:space="preserve"> PAGEREF _Toc338703930 \h </w:instrText>
      </w:r>
      <w:r>
        <w:rPr>
          <w:noProof/>
        </w:rPr>
      </w:r>
      <w:r>
        <w:rPr>
          <w:noProof/>
        </w:rPr>
        <w:fldChar w:fldCharType="separate"/>
      </w:r>
      <w:r>
        <w:rPr>
          <w:noProof/>
        </w:rPr>
        <w:t>126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152. Future change in anthropogenic area (%) of CLFN SA.</w:t>
      </w:r>
      <w:r>
        <w:rPr>
          <w:noProof/>
        </w:rPr>
        <w:tab/>
      </w:r>
      <w:r>
        <w:rPr>
          <w:noProof/>
        </w:rPr>
        <w:fldChar w:fldCharType="begin"/>
      </w:r>
      <w:r>
        <w:rPr>
          <w:noProof/>
        </w:rPr>
        <w:instrText xml:space="preserve"> PAGEREF _Toc338703931 \h </w:instrText>
      </w:r>
      <w:r>
        <w:rPr>
          <w:noProof/>
        </w:rPr>
      </w:r>
      <w:r>
        <w:rPr>
          <w:noProof/>
        </w:rPr>
        <w:fldChar w:fldCharType="separate"/>
      </w:r>
      <w:r>
        <w:rPr>
          <w:noProof/>
        </w:rPr>
        <w:t>126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153. Historical change in anthropogenic edge (</w:t>
      </w:r>
      <w:r w:rsidRPr="00CE438D">
        <w:rPr>
          <w:noProof/>
          <w:lang w:val="en-US"/>
        </w:rPr>
        <w:t>km/km</w:t>
      </w:r>
      <w:r w:rsidRPr="00CE438D">
        <w:rPr>
          <w:noProof/>
          <w:vertAlign w:val="superscript"/>
          <w:lang w:val="en-US"/>
        </w:rPr>
        <w:t>2</w:t>
      </w:r>
      <w:r>
        <w:rPr>
          <w:noProof/>
        </w:rPr>
        <w:t>) on CLFN SA.</w:t>
      </w:r>
      <w:r>
        <w:rPr>
          <w:noProof/>
        </w:rPr>
        <w:tab/>
      </w:r>
      <w:r>
        <w:rPr>
          <w:noProof/>
        </w:rPr>
        <w:fldChar w:fldCharType="begin"/>
      </w:r>
      <w:r>
        <w:rPr>
          <w:noProof/>
        </w:rPr>
        <w:instrText xml:space="preserve"> PAGEREF _Toc338703932 \h </w:instrText>
      </w:r>
      <w:r>
        <w:rPr>
          <w:noProof/>
        </w:rPr>
      </w:r>
      <w:r>
        <w:rPr>
          <w:noProof/>
        </w:rPr>
        <w:fldChar w:fldCharType="separate"/>
      </w:r>
      <w:r>
        <w:rPr>
          <w:noProof/>
        </w:rPr>
        <w:t>127</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154. Future change in anthropogenic edge (</w:t>
      </w:r>
      <w:r w:rsidRPr="00CE438D">
        <w:rPr>
          <w:noProof/>
          <w:lang w:val="en-US"/>
        </w:rPr>
        <w:t>km/km</w:t>
      </w:r>
      <w:r w:rsidRPr="00CE438D">
        <w:rPr>
          <w:noProof/>
          <w:vertAlign w:val="superscript"/>
          <w:lang w:val="en-US"/>
        </w:rPr>
        <w:t>2</w:t>
      </w:r>
      <w:r>
        <w:rPr>
          <w:noProof/>
        </w:rPr>
        <w:t>) on CLFN SA.</w:t>
      </w:r>
      <w:r>
        <w:rPr>
          <w:noProof/>
        </w:rPr>
        <w:tab/>
      </w:r>
      <w:r>
        <w:rPr>
          <w:noProof/>
        </w:rPr>
        <w:fldChar w:fldCharType="begin"/>
      </w:r>
      <w:r>
        <w:rPr>
          <w:noProof/>
        </w:rPr>
        <w:instrText xml:space="preserve"> PAGEREF _Toc338703933 \h </w:instrText>
      </w:r>
      <w:r>
        <w:rPr>
          <w:noProof/>
        </w:rPr>
      </w:r>
      <w:r>
        <w:rPr>
          <w:noProof/>
        </w:rPr>
        <w:fldChar w:fldCharType="separate"/>
      </w:r>
      <w:r>
        <w:rPr>
          <w:noProof/>
        </w:rPr>
        <w:t>127</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155. Historical change in footprint area (%) in CLFN SA with reclamation rates set at 0.</w:t>
      </w:r>
      <w:r>
        <w:rPr>
          <w:noProof/>
        </w:rPr>
        <w:tab/>
      </w:r>
      <w:r>
        <w:rPr>
          <w:noProof/>
        </w:rPr>
        <w:fldChar w:fldCharType="begin"/>
      </w:r>
      <w:r>
        <w:rPr>
          <w:noProof/>
        </w:rPr>
        <w:instrText xml:space="preserve"> PAGEREF _Toc338703934 \h </w:instrText>
      </w:r>
      <w:r>
        <w:rPr>
          <w:noProof/>
        </w:rPr>
      </w:r>
      <w:r>
        <w:rPr>
          <w:noProof/>
        </w:rPr>
        <w:fldChar w:fldCharType="separate"/>
      </w:r>
      <w:r>
        <w:rPr>
          <w:noProof/>
        </w:rPr>
        <w:t>128</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156. Simulated future change in land-use footprint area (%) in CLFN SA if reclamation rates are set at 0.</w:t>
      </w:r>
      <w:r>
        <w:rPr>
          <w:noProof/>
        </w:rPr>
        <w:tab/>
      </w:r>
      <w:r>
        <w:rPr>
          <w:noProof/>
        </w:rPr>
        <w:fldChar w:fldCharType="begin"/>
      </w:r>
      <w:r>
        <w:rPr>
          <w:noProof/>
        </w:rPr>
        <w:instrText xml:space="preserve"> PAGEREF _Toc338703935 \h </w:instrText>
      </w:r>
      <w:r>
        <w:rPr>
          <w:noProof/>
        </w:rPr>
      </w:r>
      <w:r>
        <w:rPr>
          <w:noProof/>
        </w:rPr>
        <w:fldChar w:fldCharType="separate"/>
      </w:r>
      <w:r>
        <w:rPr>
          <w:noProof/>
        </w:rPr>
        <w:t>128</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157. Historical change in anthropogenic edge (km/km</w:t>
      </w:r>
      <w:r w:rsidRPr="00CE438D">
        <w:rPr>
          <w:noProof/>
          <w:vertAlign w:val="superscript"/>
          <w:lang w:val="en-US"/>
        </w:rPr>
        <w:t>2</w:t>
      </w:r>
      <w:r>
        <w:rPr>
          <w:noProof/>
        </w:rPr>
        <w:t>) in CLFN SA without reclamation.</w:t>
      </w:r>
      <w:r>
        <w:rPr>
          <w:noProof/>
        </w:rPr>
        <w:tab/>
      </w:r>
      <w:r>
        <w:rPr>
          <w:noProof/>
        </w:rPr>
        <w:fldChar w:fldCharType="begin"/>
      </w:r>
      <w:r>
        <w:rPr>
          <w:noProof/>
        </w:rPr>
        <w:instrText xml:space="preserve"> PAGEREF _Toc338703936 \h </w:instrText>
      </w:r>
      <w:r>
        <w:rPr>
          <w:noProof/>
        </w:rPr>
      </w:r>
      <w:r>
        <w:rPr>
          <w:noProof/>
        </w:rPr>
        <w:fldChar w:fldCharType="separate"/>
      </w:r>
      <w:r>
        <w:rPr>
          <w:noProof/>
        </w:rPr>
        <w:t>129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158. Simulated future change in anthropogenic edge (km/km</w:t>
      </w:r>
      <w:r w:rsidRPr="00CE438D">
        <w:rPr>
          <w:noProof/>
          <w:vertAlign w:val="superscript"/>
          <w:lang w:val="en-US"/>
        </w:rPr>
        <w:t>2</w:t>
      </w:r>
      <w:r>
        <w:rPr>
          <w:noProof/>
        </w:rPr>
        <w:t>) in CLFN SA without reclamation.</w:t>
      </w:r>
      <w:r>
        <w:rPr>
          <w:noProof/>
        </w:rPr>
        <w:tab/>
      </w:r>
      <w:r>
        <w:rPr>
          <w:noProof/>
        </w:rPr>
        <w:fldChar w:fldCharType="begin"/>
      </w:r>
      <w:r>
        <w:rPr>
          <w:noProof/>
        </w:rPr>
        <w:instrText xml:space="preserve"> PAGEREF _Toc338703937 \h </w:instrText>
      </w:r>
      <w:r>
        <w:rPr>
          <w:noProof/>
        </w:rPr>
      </w:r>
      <w:r>
        <w:rPr>
          <w:noProof/>
        </w:rPr>
        <w:fldChar w:fldCharType="separate"/>
      </w:r>
      <w:r>
        <w:rPr>
          <w:noProof/>
        </w:rPr>
        <w:t>129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159. Diagram of relative water quality index used in the CLFN ALCES model.</w:t>
      </w:r>
      <w:r>
        <w:rPr>
          <w:noProof/>
        </w:rPr>
        <w:tab/>
      </w:r>
      <w:r>
        <w:rPr>
          <w:noProof/>
        </w:rPr>
        <w:fldChar w:fldCharType="begin"/>
      </w:r>
      <w:r>
        <w:rPr>
          <w:noProof/>
        </w:rPr>
        <w:instrText xml:space="preserve"> PAGEREF _Toc338703938 \h </w:instrText>
      </w:r>
      <w:r>
        <w:rPr>
          <w:noProof/>
        </w:rPr>
      </w:r>
      <w:r>
        <w:rPr>
          <w:noProof/>
        </w:rPr>
        <w:fldChar w:fldCharType="separate"/>
      </w:r>
      <w:r>
        <w:rPr>
          <w:noProof/>
        </w:rPr>
        <w:t>131</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160. Historical, current and future changes in relative water quality in CLFN SA.</w:t>
      </w:r>
      <w:r>
        <w:rPr>
          <w:noProof/>
        </w:rPr>
        <w:tab/>
      </w:r>
      <w:r>
        <w:rPr>
          <w:noProof/>
        </w:rPr>
        <w:fldChar w:fldCharType="begin"/>
      </w:r>
      <w:r>
        <w:rPr>
          <w:noProof/>
        </w:rPr>
        <w:instrText xml:space="preserve"> PAGEREF _Toc338703939 \h </w:instrText>
      </w:r>
      <w:r>
        <w:rPr>
          <w:noProof/>
        </w:rPr>
      </w:r>
      <w:r>
        <w:rPr>
          <w:noProof/>
        </w:rPr>
        <w:fldChar w:fldCharType="separate"/>
      </w:r>
      <w:r>
        <w:rPr>
          <w:noProof/>
        </w:rPr>
        <w:t>131</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161. Historical changes in relative water quality index in CLFN SA.</w:t>
      </w:r>
      <w:r>
        <w:rPr>
          <w:noProof/>
        </w:rPr>
        <w:tab/>
      </w:r>
      <w:r>
        <w:rPr>
          <w:noProof/>
        </w:rPr>
        <w:fldChar w:fldCharType="begin"/>
      </w:r>
      <w:r>
        <w:rPr>
          <w:noProof/>
        </w:rPr>
        <w:instrText xml:space="preserve"> PAGEREF _Toc338703940 \h </w:instrText>
      </w:r>
      <w:r>
        <w:rPr>
          <w:noProof/>
        </w:rPr>
      </w:r>
      <w:r>
        <w:rPr>
          <w:noProof/>
        </w:rPr>
        <w:fldChar w:fldCharType="separate"/>
      </w:r>
      <w:r>
        <w:rPr>
          <w:noProof/>
        </w:rPr>
        <w:t>132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162. Simulated future changes in future relative water quality index in CLFN SA.</w:t>
      </w:r>
      <w:r>
        <w:rPr>
          <w:noProof/>
        </w:rPr>
        <w:tab/>
      </w:r>
      <w:r>
        <w:rPr>
          <w:noProof/>
        </w:rPr>
        <w:fldChar w:fldCharType="begin"/>
      </w:r>
      <w:r>
        <w:rPr>
          <w:noProof/>
        </w:rPr>
        <w:instrText xml:space="preserve"> PAGEREF _Toc338703941 \h </w:instrText>
      </w:r>
      <w:r>
        <w:rPr>
          <w:noProof/>
        </w:rPr>
      </w:r>
      <w:r>
        <w:rPr>
          <w:noProof/>
        </w:rPr>
        <w:fldChar w:fldCharType="separate"/>
      </w:r>
      <w:r>
        <w:rPr>
          <w:noProof/>
        </w:rPr>
        <w:t>132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163. Average forest age in CLFN SA.</w:t>
      </w:r>
      <w:r>
        <w:rPr>
          <w:noProof/>
        </w:rPr>
        <w:tab/>
      </w:r>
      <w:r>
        <w:rPr>
          <w:noProof/>
        </w:rPr>
        <w:fldChar w:fldCharType="begin"/>
      </w:r>
      <w:r>
        <w:rPr>
          <w:noProof/>
        </w:rPr>
        <w:instrText xml:space="preserve"> PAGEREF _Toc338703942 \h </w:instrText>
      </w:r>
      <w:r>
        <w:rPr>
          <w:noProof/>
        </w:rPr>
      </w:r>
      <w:r>
        <w:rPr>
          <w:noProof/>
        </w:rPr>
        <w:fldChar w:fldCharType="separate"/>
      </w:r>
      <w:r>
        <w:rPr>
          <w:noProof/>
        </w:rPr>
        <w:t>134</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164. Simulated changes in average forest age on CLFN SA.</w:t>
      </w:r>
      <w:r>
        <w:rPr>
          <w:noProof/>
        </w:rPr>
        <w:tab/>
      </w:r>
      <w:r>
        <w:rPr>
          <w:noProof/>
        </w:rPr>
        <w:fldChar w:fldCharType="begin"/>
      </w:r>
      <w:r>
        <w:rPr>
          <w:noProof/>
        </w:rPr>
        <w:instrText xml:space="preserve"> PAGEREF _Toc338703943 \h </w:instrText>
      </w:r>
      <w:r>
        <w:rPr>
          <w:noProof/>
        </w:rPr>
      </w:r>
      <w:r>
        <w:rPr>
          <w:noProof/>
        </w:rPr>
        <w:fldChar w:fldCharType="separate"/>
      </w:r>
      <w:r>
        <w:rPr>
          <w:noProof/>
        </w:rPr>
        <w:t>134</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165. Historical, current and future changes in moose habitat effectiveness for CLFN SA.</w:t>
      </w:r>
      <w:r>
        <w:rPr>
          <w:noProof/>
        </w:rPr>
        <w:tab/>
      </w:r>
      <w:r>
        <w:rPr>
          <w:noProof/>
        </w:rPr>
        <w:fldChar w:fldCharType="begin"/>
      </w:r>
      <w:r>
        <w:rPr>
          <w:noProof/>
        </w:rPr>
        <w:instrText xml:space="preserve"> PAGEREF _Toc338703944 \h </w:instrText>
      </w:r>
      <w:r>
        <w:rPr>
          <w:noProof/>
        </w:rPr>
      </w:r>
      <w:r>
        <w:rPr>
          <w:noProof/>
        </w:rPr>
        <w:fldChar w:fldCharType="separate"/>
      </w:r>
      <w:r>
        <w:rPr>
          <w:noProof/>
        </w:rPr>
        <w:t>136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166. Projected future change in moose habitat effectiveness on CLFN SA.</w:t>
      </w:r>
      <w:r>
        <w:rPr>
          <w:noProof/>
        </w:rPr>
        <w:tab/>
      </w:r>
      <w:r>
        <w:rPr>
          <w:noProof/>
        </w:rPr>
        <w:fldChar w:fldCharType="begin"/>
      </w:r>
      <w:r>
        <w:rPr>
          <w:noProof/>
        </w:rPr>
        <w:instrText xml:space="preserve"> PAGEREF _Toc338703945 \h </w:instrText>
      </w:r>
      <w:r>
        <w:rPr>
          <w:noProof/>
        </w:rPr>
      </w:r>
      <w:r>
        <w:rPr>
          <w:noProof/>
        </w:rPr>
        <w:fldChar w:fldCharType="separate"/>
      </w:r>
      <w:r>
        <w:rPr>
          <w:noProof/>
        </w:rPr>
        <w:t>136</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167. General approach in the CLFN ALCES model for simulating moose harvest.</w:t>
      </w:r>
      <w:r>
        <w:rPr>
          <w:noProof/>
        </w:rPr>
        <w:tab/>
      </w:r>
      <w:r>
        <w:rPr>
          <w:noProof/>
        </w:rPr>
        <w:fldChar w:fldCharType="begin"/>
      </w:r>
      <w:r>
        <w:rPr>
          <w:noProof/>
        </w:rPr>
        <w:instrText xml:space="preserve"> PAGEREF _Toc338703946 \h </w:instrText>
      </w:r>
      <w:r>
        <w:rPr>
          <w:noProof/>
        </w:rPr>
      </w:r>
      <w:r>
        <w:rPr>
          <w:noProof/>
        </w:rPr>
        <w:fldChar w:fldCharType="separate"/>
      </w:r>
      <w:r>
        <w:rPr>
          <w:noProof/>
        </w:rPr>
        <w:t>138</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168. Simulated change in moose populations, harvest demand and harvest availability.</w:t>
      </w:r>
      <w:r>
        <w:rPr>
          <w:noProof/>
        </w:rPr>
        <w:tab/>
      </w:r>
      <w:r>
        <w:rPr>
          <w:noProof/>
        </w:rPr>
        <w:fldChar w:fldCharType="begin"/>
      </w:r>
      <w:r>
        <w:rPr>
          <w:noProof/>
        </w:rPr>
        <w:instrText xml:space="preserve"> PAGEREF _Toc338703947 \h </w:instrText>
      </w:r>
      <w:r>
        <w:rPr>
          <w:noProof/>
        </w:rPr>
      </w:r>
      <w:r>
        <w:rPr>
          <w:noProof/>
        </w:rPr>
        <w:fldChar w:fldCharType="separate"/>
      </w:r>
      <w:r>
        <w:rPr>
          <w:noProof/>
        </w:rPr>
        <w:t>138</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169.  Changes in Fisher Habitat Effectiveness. Source: CLFN ALCES Simulations</w:t>
      </w:r>
      <w:r>
        <w:rPr>
          <w:noProof/>
        </w:rPr>
        <w:tab/>
      </w:r>
      <w:r>
        <w:rPr>
          <w:noProof/>
        </w:rPr>
        <w:fldChar w:fldCharType="begin"/>
      </w:r>
      <w:r>
        <w:rPr>
          <w:noProof/>
        </w:rPr>
        <w:instrText xml:space="preserve"> PAGEREF _Toc338703948 \h </w:instrText>
      </w:r>
      <w:r>
        <w:rPr>
          <w:noProof/>
        </w:rPr>
      </w:r>
      <w:r>
        <w:rPr>
          <w:noProof/>
        </w:rPr>
        <w:fldChar w:fldCharType="separate"/>
      </w:r>
      <w:r>
        <w:rPr>
          <w:noProof/>
        </w:rPr>
        <w:t>139</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170. Changes in Index of Native Fish Integrity.</w:t>
      </w:r>
      <w:r>
        <w:rPr>
          <w:noProof/>
        </w:rPr>
        <w:tab/>
      </w:r>
      <w:r>
        <w:rPr>
          <w:noProof/>
        </w:rPr>
        <w:fldChar w:fldCharType="begin"/>
      </w:r>
      <w:r>
        <w:rPr>
          <w:noProof/>
        </w:rPr>
        <w:instrText xml:space="preserve"> PAGEREF _Toc338703949 \h </w:instrText>
      </w:r>
      <w:r>
        <w:rPr>
          <w:noProof/>
        </w:rPr>
      </w:r>
      <w:r>
        <w:rPr>
          <w:noProof/>
        </w:rPr>
        <w:fldChar w:fldCharType="separate"/>
      </w:r>
      <w:r>
        <w:rPr>
          <w:noProof/>
        </w:rPr>
        <w:t>140</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171. Simulated changes in annual production of sulphur dioxide (S02) in CLFN SA based on recovery of bitumen using small, medium and large sized facilities.</w:t>
      </w:r>
      <w:r>
        <w:rPr>
          <w:noProof/>
        </w:rPr>
        <w:tab/>
      </w:r>
      <w:r>
        <w:rPr>
          <w:noProof/>
        </w:rPr>
        <w:fldChar w:fldCharType="begin"/>
      </w:r>
      <w:r>
        <w:rPr>
          <w:noProof/>
        </w:rPr>
        <w:instrText xml:space="preserve"> PAGEREF _Toc338703950 \h </w:instrText>
      </w:r>
      <w:r>
        <w:rPr>
          <w:noProof/>
        </w:rPr>
      </w:r>
      <w:r>
        <w:rPr>
          <w:noProof/>
        </w:rPr>
        <w:fldChar w:fldCharType="separate"/>
      </w:r>
      <w:r>
        <w:rPr>
          <w:noProof/>
        </w:rPr>
        <w:t>142</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172. Simulated changes in cumulative production of sulphur dioxide (S02) in CLFN SA based on recovery of bitumen using small, medium and large sized facilities.</w:t>
      </w:r>
      <w:r>
        <w:rPr>
          <w:noProof/>
        </w:rPr>
        <w:tab/>
      </w:r>
      <w:r>
        <w:rPr>
          <w:noProof/>
        </w:rPr>
        <w:fldChar w:fldCharType="begin"/>
      </w:r>
      <w:r>
        <w:rPr>
          <w:noProof/>
        </w:rPr>
        <w:instrText xml:space="preserve"> PAGEREF _Toc338703951 \h </w:instrText>
      </w:r>
      <w:r>
        <w:rPr>
          <w:noProof/>
        </w:rPr>
      </w:r>
      <w:r>
        <w:rPr>
          <w:noProof/>
        </w:rPr>
        <w:fldChar w:fldCharType="separate"/>
      </w:r>
      <w:r>
        <w:rPr>
          <w:noProof/>
        </w:rPr>
        <w:t>143</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173. Historical and future projected changes in integrity of edible berry habitat.</w:t>
      </w:r>
      <w:r>
        <w:rPr>
          <w:noProof/>
        </w:rPr>
        <w:tab/>
      </w:r>
      <w:r>
        <w:rPr>
          <w:noProof/>
        </w:rPr>
        <w:fldChar w:fldCharType="begin"/>
      </w:r>
      <w:r>
        <w:rPr>
          <w:noProof/>
        </w:rPr>
        <w:instrText xml:space="preserve"> PAGEREF _Toc338703952 \h </w:instrText>
      </w:r>
      <w:r>
        <w:rPr>
          <w:noProof/>
        </w:rPr>
      </w:r>
      <w:r>
        <w:rPr>
          <w:noProof/>
        </w:rPr>
        <w:fldChar w:fldCharType="separate"/>
      </w:r>
      <w:r>
        <w:rPr>
          <w:noProof/>
        </w:rPr>
        <w:t>144</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174. Examples of research illustrating relationship between road proximity and dust deposition. Sources: Santelmann and Gorham 1988 and Brown, 2009.</w:t>
      </w:r>
      <w:r>
        <w:rPr>
          <w:noProof/>
        </w:rPr>
        <w:tab/>
      </w:r>
      <w:r>
        <w:rPr>
          <w:noProof/>
        </w:rPr>
        <w:fldChar w:fldCharType="begin"/>
      </w:r>
      <w:r>
        <w:rPr>
          <w:noProof/>
        </w:rPr>
        <w:instrText xml:space="preserve"> PAGEREF _Toc338703953 \h </w:instrText>
      </w:r>
      <w:r>
        <w:rPr>
          <w:noProof/>
        </w:rPr>
      </w:r>
      <w:r>
        <w:rPr>
          <w:noProof/>
        </w:rPr>
        <w:fldChar w:fldCharType="separate"/>
      </w:r>
      <w:r>
        <w:rPr>
          <w:noProof/>
        </w:rPr>
        <w:t>145</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175. Estimates of roadside buffers distances that may adversely affect integrity of edible berries. Source: Integrated Ecology Group (IEG), 2012. Based on work completed by IEG for Fort McKay First Nations.</w:t>
      </w:r>
      <w:r>
        <w:rPr>
          <w:noProof/>
        </w:rPr>
        <w:tab/>
      </w:r>
      <w:r>
        <w:rPr>
          <w:noProof/>
        </w:rPr>
        <w:fldChar w:fldCharType="begin"/>
      </w:r>
      <w:r>
        <w:rPr>
          <w:noProof/>
        </w:rPr>
        <w:instrText xml:space="preserve"> PAGEREF _Toc338703954 \h </w:instrText>
      </w:r>
      <w:r>
        <w:rPr>
          <w:noProof/>
        </w:rPr>
      </w:r>
      <w:r>
        <w:rPr>
          <w:noProof/>
        </w:rPr>
        <w:fldChar w:fldCharType="separate"/>
      </w:r>
      <w:r>
        <w:rPr>
          <w:noProof/>
        </w:rPr>
        <w:t>145</w:t>
      </w:r>
      <w:r>
        <w:rPr>
          <w:noProof/>
        </w:rPr>
        <w:fldChar w:fldCharType="end"/>
      </w:r>
    </w:p>
    <w:p w:rsidR="00794F48" w:rsidRDefault="00794F48">
      <w:pPr>
        <w:pStyle w:val="TableofFigures"/>
        <w:tabs>
          <w:tab w:val="right" w:leader="dot" w:pos="8993"/>
        </w:tabs>
        <w:rPr>
          <w:rFonts w:asciiTheme="minorHAnsi" w:eastAsiaTheme="minorEastAsia" w:hAnsiTheme="minorHAnsi" w:cstheme="minorBidi"/>
          <w:noProof/>
          <w:sz w:val="22"/>
          <w:szCs w:val="22"/>
          <w:lang w:val="en-US"/>
        </w:rPr>
      </w:pPr>
      <w:r>
        <w:rPr>
          <w:noProof/>
        </w:rPr>
        <w:t>Figure 176. Simulated historical, current, and future changes in access by CLFN to the CLFN SA for purposes of traditional activities.</w:t>
      </w:r>
      <w:r>
        <w:rPr>
          <w:noProof/>
        </w:rPr>
        <w:tab/>
      </w:r>
      <w:r>
        <w:rPr>
          <w:noProof/>
        </w:rPr>
        <w:fldChar w:fldCharType="begin"/>
      </w:r>
      <w:r>
        <w:rPr>
          <w:noProof/>
        </w:rPr>
        <w:instrText xml:space="preserve"> PAGEREF _Toc338703955 \h </w:instrText>
      </w:r>
      <w:r>
        <w:rPr>
          <w:noProof/>
        </w:rPr>
      </w:r>
      <w:r>
        <w:rPr>
          <w:noProof/>
        </w:rPr>
        <w:fldChar w:fldCharType="separate"/>
      </w:r>
      <w:r>
        <w:rPr>
          <w:noProof/>
        </w:rPr>
        <w:t>147</w:t>
      </w:r>
      <w:r>
        <w:rPr>
          <w:noProof/>
        </w:rPr>
        <w:fldChar w:fldCharType="end"/>
      </w:r>
    </w:p>
    <w:p w:rsidR="00C55A94" w:rsidRDefault="00575CA7" w:rsidP="00C55A94">
      <w:pPr>
        <w:rPr>
          <w:rFonts w:ascii="Arial" w:hAnsi="Arial" w:cs="Arial"/>
          <w:b/>
        </w:rPr>
      </w:pPr>
      <w:r>
        <w:rPr>
          <w:rStyle w:val="Hyperlink"/>
        </w:rPr>
        <w:fldChar w:fldCharType="end"/>
      </w:r>
    </w:p>
    <w:p w:rsidR="001A780C" w:rsidRDefault="001A780C" w:rsidP="0083540A">
      <w:pPr>
        <w:jc w:val="right"/>
        <w:rPr>
          <w:rFonts w:ascii="Arial" w:hAnsi="Arial" w:cs="Arial"/>
          <w:b/>
        </w:rPr>
      </w:pPr>
    </w:p>
    <w:p w:rsidR="00E77828" w:rsidRDefault="00E77828">
      <w:pPr>
        <w:spacing w:after="200" w:line="276" w:lineRule="auto"/>
        <w:rPr>
          <w:rFonts w:ascii="Arial" w:hAnsi="Arial"/>
          <w:b/>
          <w:caps/>
          <w:kern w:val="28"/>
          <w:sz w:val="28"/>
          <w:szCs w:val="32"/>
          <w:lang w:val="en-US"/>
        </w:rPr>
      </w:pPr>
      <w:r>
        <w:rPr>
          <w:szCs w:val="32"/>
        </w:rPr>
        <w:lastRenderedPageBreak/>
        <w:br w:type="page"/>
      </w:r>
    </w:p>
    <w:p w:rsidR="000D0B0C" w:rsidRPr="00CF2DC9" w:rsidRDefault="005B61FA" w:rsidP="00CF2DC9">
      <w:pPr>
        <w:pStyle w:val="Heading1"/>
        <w:rPr>
          <w:szCs w:val="32"/>
        </w:rPr>
      </w:pPr>
      <w:bookmarkStart w:id="8" w:name="_Toc338703677"/>
      <w:r>
        <w:rPr>
          <w:szCs w:val="32"/>
        </w:rPr>
        <w:lastRenderedPageBreak/>
        <w:t>Background</w:t>
      </w:r>
      <w:bookmarkEnd w:id="8"/>
    </w:p>
    <w:p w:rsidR="009D458C" w:rsidRDefault="009D458C" w:rsidP="009D458C">
      <w:pPr>
        <w:pStyle w:val="BodyText"/>
      </w:pPr>
      <w:r>
        <w:t xml:space="preserve">The </w:t>
      </w:r>
      <w:r w:rsidRPr="00624932">
        <w:rPr>
          <w:i/>
        </w:rPr>
        <w:t>Densuline</w:t>
      </w:r>
      <w:r>
        <w:t xml:space="preserve"> peoples of Cold Lake First Nations have resided in the boreal mixed wood forests of east central Alberta for approximately 10,000 years. For 98% of this time, they existed as nomadic Hunter-Gatherers whose distribution and activities were shaped by seasonal and inter-annual variation in climate, and the diversity of landforms that comprised this landscape. The CLFN/</w:t>
      </w:r>
      <w:r w:rsidRPr="00624932">
        <w:rPr>
          <w:i/>
        </w:rPr>
        <w:t>Denesuline</w:t>
      </w:r>
      <w:r>
        <w:t xml:space="preserve"> community’s pre-European era numbers likely fluctuated from a few hundred to a few thousand. Represented by a collection of nomadic family clans, their continuous movements across a traditional network of trails and non-permanent settlements reflected their need to find and harvest populations of moose, fish, and berries (among other foods, medicines and resources). As food resources would become locally depleted, these nomadic groups would continue their traditional movements, locating new food sources elsewhere, and allowing depleted areas to recover.  The vast area of their Traditional Territory, and the low density of their numbers, allowed for a “spatial-temporal” system of movement and food harvest that was sustainable in time and space.</w:t>
      </w:r>
    </w:p>
    <w:p w:rsidR="009D458C" w:rsidRDefault="009D458C" w:rsidP="009D458C">
      <w:pPr>
        <w:pStyle w:val="BodyText"/>
      </w:pPr>
      <w:r>
        <w:t xml:space="preserve">Approximately 200 years ago the arrival of Europeans to the CLFN region catalyzed a series of incremental </w:t>
      </w:r>
      <w:r w:rsidR="00C544DE">
        <w:t>land-use</w:t>
      </w:r>
      <w:r>
        <w:t xml:space="preserve"> changes that continues today. The inclusion of CLFN into the trapping industry </w:t>
      </w:r>
      <w:r w:rsidR="00D315D6">
        <w:t>substantially</w:t>
      </w:r>
      <w:r>
        <w:t xml:space="preserve"> altered their economy and social fabric, but still allowed them to continue a dynamic lifestyle that was based on the land and the natural resources of the boreal forest. </w:t>
      </w:r>
      <w:r w:rsidRPr="002C5179">
        <w:t>Both the CLFN and the wildlife upon which they depended relied heavily on the ability to migrate in poorer weather, and follow ancient migratory trails or seasonal indicators to seek better resources. The migration of people and animals are closely associated with the cultural milestones in traditional lifestyles and land management, and prompt cult</w:t>
      </w:r>
      <w:r w:rsidR="000D45D0">
        <w:t xml:space="preserve">ural ceremonies or activities.  </w:t>
      </w:r>
      <w:r>
        <w:t>The signing of Treaty Six in 1876 ushered in a new era that introduced CLFN to the concept of Treaty Reserve lands</w:t>
      </w:r>
      <w:r w:rsidR="00D315D6">
        <w:t>,</w:t>
      </w:r>
      <w:r>
        <w:t xml:space="preserve"> and would later lead to partial restrictions of movement. The arrival of permanent communities of Europeans and agriculture in the southern reaches of their Traditional Territory altered the southern portion of their landscape and its capacity to sustain traditional activities. During this period, some members of the CLFN community became active members of the farming and livestock industries.</w:t>
      </w:r>
    </w:p>
    <w:p w:rsidR="009D458C" w:rsidRDefault="009D458C" w:rsidP="009D458C">
      <w:pPr>
        <w:pStyle w:val="BodyText"/>
      </w:pPr>
      <w:r>
        <w:t xml:space="preserve">In 1952, a </w:t>
      </w:r>
      <w:r w:rsidR="00C544DE">
        <w:t>land-use</w:t>
      </w:r>
      <w:r>
        <w:t xml:space="preserve"> decision by the Governments of Canada and Alberta profoundly affected the peoples of CLFN. The establishment of the Cold Lake Air Weapons Range (CLAWR, also referred to as Primrose Air Weapons Range), ~470,000 ha (within CLFN on the Alberta side) and located in the middle of their Traditional Territory, prevented CLFN </w:t>
      </w:r>
      <w:r w:rsidR="00624932">
        <w:t xml:space="preserve">members </w:t>
      </w:r>
      <w:r>
        <w:t xml:space="preserve">from accessing the central portions of their traditional lands and made it logistically difficult to gain access to the northern regions. When the CLAWR was closed to the public in the late summer of 1954, “the economy of Cold Lake communities collapsed almost immediately.” </w:t>
      </w:r>
      <w:proofErr w:type="gramStart"/>
      <w:r>
        <w:t>(Indian Claims Commission Report, p. 75).</w:t>
      </w:r>
      <w:proofErr w:type="gramEnd"/>
      <w:r>
        <w:t xml:space="preserve"> </w:t>
      </w:r>
    </w:p>
    <w:p w:rsidR="009D458C" w:rsidRDefault="009D458C" w:rsidP="009D458C">
      <w:pPr>
        <w:pStyle w:val="BodyText"/>
      </w:pPr>
      <w:r>
        <w:t xml:space="preserve">The advent of forced residential schooling </w:t>
      </w:r>
      <w:r w:rsidR="00624932">
        <w:t>from the</w:t>
      </w:r>
      <w:r>
        <w:t xml:space="preserve"> </w:t>
      </w:r>
      <w:r w:rsidR="00624932">
        <w:t>192</w:t>
      </w:r>
      <w:r w:rsidRPr="00B75C04">
        <w:t xml:space="preserve">0s </w:t>
      </w:r>
      <w:r w:rsidR="00624932">
        <w:t xml:space="preserve">to the 1970s </w:t>
      </w:r>
      <w:r w:rsidRPr="00B75C04">
        <w:t>c</w:t>
      </w:r>
      <w:r>
        <w:t>aused a permanent discontinuity in community structure and inter-generational transfer of traditional knowledge. This discontinuity is reflected among differences expressed by elders and younger generations, whose aspirations for traditional lifestyles and participation in cash economies now sometimes clash.</w:t>
      </w:r>
    </w:p>
    <w:p w:rsidR="009D458C" w:rsidRDefault="009D458C" w:rsidP="009D458C">
      <w:pPr>
        <w:pStyle w:val="BodyText"/>
      </w:pPr>
      <w:r>
        <w:lastRenderedPageBreak/>
        <w:t xml:space="preserve">Squeezed between expanding agriculture to the south and an exclusionary military </w:t>
      </w:r>
      <w:r w:rsidR="00C544DE">
        <w:t>land-use</w:t>
      </w:r>
      <w:r>
        <w:t xml:space="preserve"> to the north, CLFN </w:t>
      </w:r>
      <w:r w:rsidR="00EF6CE0">
        <w:t>has</w:t>
      </w:r>
      <w:r>
        <w:t xml:space="preserve"> struggled during the past six decades to maintain some semblance of traditional activities in a small sub-region that is currently undergoing a massive transformation caused by the hydrocarbon sector. The emergence of the heavy oil sector in the 1960s, and more recently a bitumen development play, has lead to a dense network of seismic lines, wellsites, access roads, processing plants, and pipelines across much of the southern half of the CLFN </w:t>
      </w:r>
      <w:r w:rsidR="00624932">
        <w:t>Traditional Territory</w:t>
      </w:r>
      <w:r>
        <w:t xml:space="preserve">. Collectively these energy sector footprints have fragmented the boreal forest landscape, creating an abundance of roads and other linear features, but also restricting access by CLFN to traditional lands through the establishment of gates and other administrative obstructions. The ongoing transformation of the CLFN </w:t>
      </w:r>
      <w:r w:rsidR="00624932">
        <w:t xml:space="preserve">Traditional Territory </w:t>
      </w:r>
      <w:r>
        <w:t xml:space="preserve">by the energy sector is a story best described as year-by-year incrementalism, or “death by a thousand cuts”. The ~28,000 ha  and 28,500 km of current and direct energy sector footprint is the result of hundreds of individual historical projects, each described and assessed individually, and largely out of context of the need for a dialogue focused on appropriate scales of time and space. The situation is exacerbated by the recognition that only a very small fraction (~5.5%) of recoverable bitumen and heavy oil has been extracted to date. The key point is that the energy sector on CLFN </w:t>
      </w:r>
      <w:r w:rsidR="00624932">
        <w:t xml:space="preserve">Traditional Territory </w:t>
      </w:r>
      <w:r>
        <w:t>is at the very early stages of its development, yet has already made a marked and lasting signature on these lands.</w:t>
      </w:r>
    </w:p>
    <w:p w:rsidR="00CF785D" w:rsidRDefault="00CF785D" w:rsidP="000D0B0C">
      <w:pPr>
        <w:pStyle w:val="BodyText"/>
      </w:pPr>
    </w:p>
    <w:p w:rsidR="00064876" w:rsidRDefault="00064876">
      <w:pPr>
        <w:spacing w:after="200" w:line="276" w:lineRule="auto"/>
      </w:pPr>
      <w:r>
        <w:br w:type="page"/>
      </w:r>
    </w:p>
    <w:p w:rsidR="00B032E1" w:rsidRDefault="00B032E1" w:rsidP="00B032E1">
      <w:pPr>
        <w:pStyle w:val="BodyText"/>
        <w:keepNext/>
        <w:spacing w:after="0"/>
      </w:pPr>
      <w:r>
        <w:rPr>
          <w:noProof/>
          <w:lang w:val="en-US"/>
        </w:rPr>
        <w:lastRenderedPageBreak/>
        <w:drawing>
          <wp:inline distT="0" distB="0" distL="0" distR="0">
            <wp:extent cx="4756831" cy="3600000"/>
            <wp:effectExtent l="19050" t="19050" r="24719" b="1950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4756831"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B032E1" w:rsidRDefault="00B032E1" w:rsidP="00B032E1">
      <w:pPr>
        <w:pStyle w:val="Caption"/>
      </w:pPr>
      <w:bookmarkStart w:id="9" w:name="_Ref325893133"/>
      <w:bookmarkStart w:id="10" w:name="_Toc338703781"/>
      <w:proofErr w:type="gramStart"/>
      <w:r>
        <w:t xml:space="preserve">Figure </w:t>
      </w:r>
      <w:fldSimple w:instr=" SEQ Figure \* ARABIC ">
        <w:r w:rsidR="00A02D22">
          <w:rPr>
            <w:noProof/>
          </w:rPr>
          <w:t>1</w:t>
        </w:r>
      </w:fldSimple>
      <w:bookmarkEnd w:id="9"/>
      <w:r>
        <w:t>.</w:t>
      </w:r>
      <w:proofErr w:type="gramEnd"/>
      <w:r>
        <w:t xml:space="preserve"> </w:t>
      </w:r>
      <w:proofErr w:type="gramStart"/>
      <w:r>
        <w:t xml:space="preserve">Traditional activities involving </w:t>
      </w:r>
      <w:r w:rsidR="00FB72DE">
        <w:t xml:space="preserve">the </w:t>
      </w:r>
      <w:r>
        <w:t>contemporary CLFN</w:t>
      </w:r>
      <w:r w:rsidR="00FB72DE">
        <w:t xml:space="preserve"> communities.</w:t>
      </w:r>
      <w:proofErr w:type="gramEnd"/>
      <w:r w:rsidR="00FB72DE">
        <w:t xml:space="preserve"> </w:t>
      </w:r>
      <w:proofErr w:type="gramStart"/>
      <w:r w:rsidR="00FB72DE">
        <w:t>Photos taken during the past few year</w:t>
      </w:r>
      <w:r w:rsidR="00EF6CE0">
        <w:t>s</w:t>
      </w:r>
      <w:r w:rsidR="00FB72DE">
        <w:t xml:space="preserve"> and provided by the Cold Lake First Nation community</w:t>
      </w:r>
      <w:r>
        <w:t>.</w:t>
      </w:r>
      <w:bookmarkEnd w:id="10"/>
      <w:proofErr w:type="gramEnd"/>
    </w:p>
    <w:p w:rsidR="00B032E1" w:rsidRPr="00B032E1" w:rsidRDefault="00B032E1" w:rsidP="00B032E1">
      <w:pPr>
        <w:rPr>
          <w:lang w:eastAsia="en-CA"/>
        </w:rPr>
      </w:pPr>
    </w:p>
    <w:p w:rsidR="00171054" w:rsidRDefault="00FB72DE" w:rsidP="00171054">
      <w:pPr>
        <w:pStyle w:val="BodyText"/>
        <w:keepNext/>
        <w:spacing w:after="0"/>
      </w:pPr>
      <w:r>
        <w:rPr>
          <w:noProof/>
          <w:lang w:val="en-US"/>
        </w:rPr>
        <w:drawing>
          <wp:inline distT="0" distB="0" distL="0" distR="0">
            <wp:extent cx="4749260" cy="3600000"/>
            <wp:effectExtent l="19050" t="19050" r="13240" b="19500"/>
            <wp:docPr id="9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cstate="print"/>
                    <a:srcRect/>
                    <a:stretch>
                      <a:fillRect/>
                    </a:stretch>
                  </pic:blipFill>
                  <pic:spPr bwMode="auto">
                    <a:xfrm>
                      <a:off x="0" y="0"/>
                      <a:ext cx="4749260"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171054" w:rsidRDefault="00171054" w:rsidP="00171054">
      <w:pPr>
        <w:pStyle w:val="Caption"/>
      </w:pPr>
      <w:bookmarkStart w:id="11" w:name="_Ref325889326"/>
      <w:bookmarkStart w:id="12" w:name="_Toc338703782"/>
      <w:proofErr w:type="gramStart"/>
      <w:r>
        <w:t xml:space="preserve">Figure </w:t>
      </w:r>
      <w:fldSimple w:instr=" SEQ Figure \* ARABIC ">
        <w:r w:rsidR="00A02D22">
          <w:rPr>
            <w:noProof/>
          </w:rPr>
          <w:t>2</w:t>
        </w:r>
      </w:fldSimple>
      <w:bookmarkEnd w:id="11"/>
      <w:r>
        <w:t>.</w:t>
      </w:r>
      <w:proofErr w:type="gramEnd"/>
      <w:r>
        <w:t xml:space="preserve"> Changes in the CLFN SA caused by </w:t>
      </w:r>
      <w:r w:rsidR="00C544DE">
        <w:t>land-use</w:t>
      </w:r>
      <w:r>
        <w:t xml:space="preserve">s have lead to increasing </w:t>
      </w:r>
      <w:r w:rsidR="00FB72DE">
        <w:t>concerns</w:t>
      </w:r>
      <w:r>
        <w:t xml:space="preserve"> of the environmental and cultural integrity of the region.</w:t>
      </w:r>
      <w:bookmarkEnd w:id="12"/>
    </w:p>
    <w:p w:rsidR="004014B2" w:rsidRDefault="004014B2">
      <w:pPr>
        <w:spacing w:after="200" w:line="276" w:lineRule="auto"/>
        <w:rPr>
          <w:rFonts w:ascii="Arial" w:hAnsi="Arial"/>
          <w:b/>
          <w:caps/>
          <w:kern w:val="28"/>
          <w:lang w:val="en-US"/>
        </w:rPr>
      </w:pPr>
      <w:r>
        <w:br w:type="page"/>
      </w:r>
    </w:p>
    <w:p w:rsidR="001A780C" w:rsidRDefault="005B61FA" w:rsidP="00CF2DC9">
      <w:pPr>
        <w:pStyle w:val="Heading1"/>
      </w:pPr>
      <w:bookmarkStart w:id="13" w:name="_Toc338703678"/>
      <w:r>
        <w:lastRenderedPageBreak/>
        <w:t>Study Area</w:t>
      </w:r>
      <w:bookmarkEnd w:id="13"/>
    </w:p>
    <w:p w:rsidR="00CF2DC9" w:rsidRDefault="000C47B7" w:rsidP="000C47B7">
      <w:pPr>
        <w:pStyle w:val="GeneralText"/>
        <w:widowControl w:val="0"/>
        <w:numPr>
          <w:ilvl w:val="12"/>
          <w:numId w:val="0"/>
        </w:numPr>
        <w:rPr>
          <w:sz w:val="24"/>
        </w:rPr>
      </w:pPr>
      <w:r w:rsidRPr="00CF785D">
        <w:rPr>
          <w:sz w:val="24"/>
        </w:rPr>
        <w:t xml:space="preserve">The </w:t>
      </w:r>
      <w:r w:rsidR="002158ED">
        <w:rPr>
          <w:sz w:val="24"/>
        </w:rPr>
        <w:t xml:space="preserve">traditional lands of </w:t>
      </w:r>
      <w:r w:rsidRPr="00CF785D">
        <w:rPr>
          <w:sz w:val="24"/>
        </w:rPr>
        <w:t xml:space="preserve">CLFN </w:t>
      </w:r>
      <w:r w:rsidR="002158ED">
        <w:rPr>
          <w:sz w:val="24"/>
        </w:rPr>
        <w:t xml:space="preserve">(2.11 M ha) are located within the boreal mixedwood forests of east-central Alberta and west central Saskatchewan </w:t>
      </w:r>
      <w:r w:rsidR="002158ED" w:rsidRPr="00CF785D">
        <w:rPr>
          <w:sz w:val="24"/>
        </w:rPr>
        <w:t>(</w:t>
      </w:r>
      <w:r w:rsidR="00575CA7">
        <w:rPr>
          <w:sz w:val="24"/>
        </w:rPr>
        <w:fldChar w:fldCharType="begin"/>
      </w:r>
      <w:r w:rsidR="002158ED">
        <w:rPr>
          <w:sz w:val="24"/>
        </w:rPr>
        <w:instrText xml:space="preserve"> REF _Ref325387405 \h </w:instrText>
      </w:r>
      <w:r w:rsidR="00575CA7">
        <w:rPr>
          <w:sz w:val="24"/>
        </w:rPr>
      </w:r>
      <w:r w:rsidR="00575CA7">
        <w:rPr>
          <w:sz w:val="24"/>
        </w:rPr>
        <w:fldChar w:fldCharType="separate"/>
      </w:r>
      <w:r w:rsidR="003648B8">
        <w:t xml:space="preserve">Figure </w:t>
      </w:r>
      <w:r w:rsidR="003648B8">
        <w:rPr>
          <w:noProof/>
        </w:rPr>
        <w:t>3</w:t>
      </w:r>
      <w:r w:rsidR="00575CA7">
        <w:rPr>
          <w:sz w:val="24"/>
        </w:rPr>
        <w:fldChar w:fldCharType="end"/>
      </w:r>
      <w:r w:rsidR="002158ED" w:rsidRPr="00CF785D">
        <w:rPr>
          <w:sz w:val="24"/>
        </w:rPr>
        <w:t>)</w:t>
      </w:r>
      <w:r w:rsidR="002158ED">
        <w:rPr>
          <w:sz w:val="24"/>
        </w:rPr>
        <w:t xml:space="preserve">. </w:t>
      </w:r>
      <w:r w:rsidR="00614BBE">
        <w:rPr>
          <w:sz w:val="24"/>
        </w:rPr>
        <w:t>Recognizing the jurisdiction of the ERCB is within the Province of Alberta, the</w:t>
      </w:r>
      <w:r w:rsidR="002158ED">
        <w:rPr>
          <w:sz w:val="24"/>
        </w:rPr>
        <w:t xml:space="preserve"> specific </w:t>
      </w:r>
      <w:r w:rsidRPr="00CF785D">
        <w:rPr>
          <w:sz w:val="24"/>
        </w:rPr>
        <w:t xml:space="preserve">study area </w:t>
      </w:r>
      <w:r w:rsidR="002158ED">
        <w:rPr>
          <w:sz w:val="24"/>
        </w:rPr>
        <w:t xml:space="preserve">of this project </w:t>
      </w:r>
      <w:r w:rsidR="00154939">
        <w:rPr>
          <w:sz w:val="24"/>
        </w:rPr>
        <w:t xml:space="preserve">represents </w:t>
      </w:r>
      <w:r w:rsidR="002158ED">
        <w:rPr>
          <w:sz w:val="24"/>
        </w:rPr>
        <w:t>that portion of the CLFN</w:t>
      </w:r>
      <w:r w:rsidR="00154939">
        <w:rPr>
          <w:sz w:val="24"/>
        </w:rPr>
        <w:t xml:space="preserve"> traditional lands </w:t>
      </w:r>
      <w:r w:rsidR="002158ED">
        <w:rPr>
          <w:sz w:val="24"/>
        </w:rPr>
        <w:t>located within Alberta (1.12 M ha)</w:t>
      </w:r>
      <w:r w:rsidR="009B1D49">
        <w:rPr>
          <w:sz w:val="24"/>
        </w:rPr>
        <w:t>.</w:t>
      </w:r>
      <w:r w:rsidR="00AB77F5">
        <w:rPr>
          <w:sz w:val="24"/>
        </w:rPr>
        <w:t xml:space="preserve"> This region is hereafter referred to as CLFN SA (Cold Lake First Nations Study Area).</w:t>
      </w:r>
    </w:p>
    <w:p w:rsidR="00CF2DC9" w:rsidRDefault="00871C3E" w:rsidP="00CF2DC9">
      <w:pPr>
        <w:pStyle w:val="Heading2"/>
      </w:pPr>
      <w:bookmarkStart w:id="14" w:name="_Toc338703679"/>
      <w:r>
        <w:t>The Physical Landscape</w:t>
      </w:r>
      <w:bookmarkEnd w:id="14"/>
    </w:p>
    <w:p w:rsidR="009B1D49" w:rsidRPr="007540CE" w:rsidRDefault="009B1D49" w:rsidP="009B1D49">
      <w:pPr>
        <w:pStyle w:val="GeneralText"/>
        <w:widowControl w:val="0"/>
        <w:numPr>
          <w:ilvl w:val="12"/>
          <w:numId w:val="0"/>
        </w:numPr>
        <w:rPr>
          <w:i/>
          <w:sz w:val="24"/>
        </w:rPr>
      </w:pPr>
      <w:r w:rsidRPr="00AE3F84">
        <w:rPr>
          <w:sz w:val="24"/>
        </w:rPr>
        <w:t>(</w:t>
      </w:r>
      <w:proofErr w:type="gramStart"/>
      <w:r w:rsidRPr="00AE3F84">
        <w:rPr>
          <w:sz w:val="24"/>
        </w:rPr>
        <w:t>portions</w:t>
      </w:r>
      <w:proofErr w:type="gramEnd"/>
      <w:r w:rsidRPr="00AE3F84">
        <w:rPr>
          <w:sz w:val="24"/>
        </w:rPr>
        <w:t xml:space="preserve"> of text adapted from</w:t>
      </w:r>
      <w:r w:rsidRPr="007540CE">
        <w:rPr>
          <w:i/>
          <w:sz w:val="24"/>
        </w:rPr>
        <w:t xml:space="preserve"> </w:t>
      </w:r>
      <w:r w:rsidR="007540CE">
        <w:rPr>
          <w:i/>
          <w:sz w:val="24"/>
        </w:rPr>
        <w:t>“</w:t>
      </w:r>
      <w:r w:rsidR="007540CE" w:rsidRPr="007540CE">
        <w:rPr>
          <w:i/>
          <w:sz w:val="24"/>
          <w:u w:val="single"/>
        </w:rPr>
        <w:t>Relationships between Stand Age, Stand Structure and Biodiversity in Aspen Mixedwood Forests in Alberta</w:t>
      </w:r>
      <w:r w:rsidR="007540CE">
        <w:rPr>
          <w:i/>
          <w:sz w:val="24"/>
        </w:rPr>
        <w:t>”</w:t>
      </w:r>
      <w:r w:rsidRPr="007540CE">
        <w:rPr>
          <w:i/>
          <w:sz w:val="24"/>
        </w:rPr>
        <w:t>(Stelfox et a</w:t>
      </w:r>
      <w:r w:rsidR="004873CC">
        <w:rPr>
          <w:i/>
          <w:sz w:val="24"/>
        </w:rPr>
        <w:t>l.</w:t>
      </w:r>
      <w:r w:rsidRPr="007540CE">
        <w:rPr>
          <w:i/>
          <w:sz w:val="24"/>
        </w:rPr>
        <w:t>, 1995)</w:t>
      </w:r>
      <w:r w:rsidR="00AE3F84">
        <w:rPr>
          <w:i/>
          <w:sz w:val="24"/>
        </w:rPr>
        <w:t>)</w:t>
      </w:r>
    </w:p>
    <w:p w:rsidR="000C47B7" w:rsidRPr="00CF785D" w:rsidRDefault="00CF2DC9" w:rsidP="000C47B7">
      <w:pPr>
        <w:pStyle w:val="GeneralText"/>
        <w:widowControl w:val="0"/>
        <w:numPr>
          <w:ilvl w:val="12"/>
          <w:numId w:val="0"/>
        </w:numPr>
        <w:rPr>
          <w:sz w:val="24"/>
        </w:rPr>
      </w:pPr>
      <w:r>
        <w:rPr>
          <w:sz w:val="24"/>
        </w:rPr>
        <w:t>The study area</w:t>
      </w:r>
      <w:r w:rsidR="00AC0364">
        <w:rPr>
          <w:sz w:val="24"/>
        </w:rPr>
        <w:t xml:space="preserve"> is generically located</w:t>
      </w:r>
      <w:r w:rsidR="002158ED">
        <w:rPr>
          <w:sz w:val="24"/>
        </w:rPr>
        <w:t xml:space="preserve"> between </w:t>
      </w:r>
      <w:r w:rsidR="00504D4A">
        <w:rPr>
          <w:sz w:val="24"/>
        </w:rPr>
        <w:t>55.10-55.44</w:t>
      </w:r>
      <w:r w:rsidR="002158ED">
        <w:rPr>
          <w:sz w:val="24"/>
        </w:rPr>
        <w:t xml:space="preserve">° north latitude, </w:t>
      </w:r>
      <w:r w:rsidR="00504D4A">
        <w:rPr>
          <w:sz w:val="24"/>
        </w:rPr>
        <w:t>110.0-111.10</w:t>
      </w:r>
      <w:r w:rsidR="000C47B7" w:rsidRPr="00CF785D">
        <w:rPr>
          <w:sz w:val="24"/>
        </w:rPr>
        <w:t>° west longitude, and varies in elevation from 650</w:t>
      </w:r>
      <w:r w:rsidR="000C47B7" w:rsidRPr="00CF785D">
        <w:rPr>
          <w:sz w:val="24"/>
        </w:rPr>
        <w:softHyphen/>
        <w:t xml:space="preserve">–700 m a.s.l. Although this area has regionally similar geomorphology, climate, and plant communities, considerable local variation </w:t>
      </w:r>
      <w:r w:rsidR="00FB72DE">
        <w:rPr>
          <w:sz w:val="24"/>
        </w:rPr>
        <w:t>is prevalent</w:t>
      </w:r>
      <w:r w:rsidR="000C47B7" w:rsidRPr="00CF785D">
        <w:rPr>
          <w:sz w:val="24"/>
        </w:rPr>
        <w:t xml:space="preserve"> (Kabzems et al. 1976</w:t>
      </w:r>
      <w:r w:rsidR="009D458C">
        <w:rPr>
          <w:sz w:val="24"/>
        </w:rPr>
        <w:t xml:space="preserve">; </w:t>
      </w:r>
      <w:r w:rsidR="00575CA7">
        <w:rPr>
          <w:sz w:val="24"/>
        </w:rPr>
        <w:fldChar w:fldCharType="begin"/>
      </w:r>
      <w:r w:rsidR="009D458C">
        <w:rPr>
          <w:sz w:val="24"/>
        </w:rPr>
        <w:instrText xml:space="preserve"> REF _Ref325387348 \h </w:instrText>
      </w:r>
      <w:r w:rsidR="00575CA7">
        <w:rPr>
          <w:sz w:val="24"/>
        </w:rPr>
      </w:r>
      <w:r w:rsidR="00575CA7">
        <w:rPr>
          <w:sz w:val="24"/>
        </w:rPr>
        <w:fldChar w:fldCharType="separate"/>
      </w:r>
      <w:r w:rsidR="003648B8">
        <w:t xml:space="preserve">Figure </w:t>
      </w:r>
      <w:r w:rsidR="003648B8">
        <w:rPr>
          <w:noProof/>
        </w:rPr>
        <w:t>4</w:t>
      </w:r>
      <w:r w:rsidR="00575CA7">
        <w:rPr>
          <w:sz w:val="24"/>
        </w:rPr>
        <w:fldChar w:fldCharType="end"/>
      </w:r>
      <w:r w:rsidR="000C47B7" w:rsidRPr="00CF785D">
        <w:rPr>
          <w:sz w:val="24"/>
        </w:rPr>
        <w:t xml:space="preserve">). A general geophysical description of the area is found in Clissold and Tress (1974). </w:t>
      </w:r>
    </w:p>
    <w:p w:rsidR="000C47B7" w:rsidRPr="00CF785D" w:rsidRDefault="000C47B7" w:rsidP="000C47B7">
      <w:pPr>
        <w:pStyle w:val="GeneralText"/>
        <w:numPr>
          <w:ilvl w:val="12"/>
          <w:numId w:val="0"/>
        </w:numPr>
        <w:rPr>
          <w:sz w:val="24"/>
        </w:rPr>
      </w:pPr>
      <w:r w:rsidRPr="00CF785D">
        <w:rPr>
          <w:sz w:val="24"/>
        </w:rPr>
        <w:t xml:space="preserve">The major bedrock formations underlying the region are Devonian strata of limestone, dolomite, shale, and evaporite. Outcroppings of both Devonian and Cretaceous bedrock are visible along some deep river valleys. </w:t>
      </w:r>
      <w:r w:rsidR="00154939">
        <w:rPr>
          <w:sz w:val="24"/>
        </w:rPr>
        <w:t xml:space="preserve"> </w:t>
      </w:r>
    </w:p>
    <w:p w:rsidR="000C47B7" w:rsidRPr="00CF785D" w:rsidRDefault="000C47B7" w:rsidP="000C47B7">
      <w:pPr>
        <w:pStyle w:val="GeneralText"/>
        <w:widowControl w:val="0"/>
        <w:numPr>
          <w:ilvl w:val="12"/>
          <w:numId w:val="0"/>
        </w:numPr>
        <w:rPr>
          <w:sz w:val="24"/>
        </w:rPr>
      </w:pPr>
      <w:r w:rsidRPr="00CF785D">
        <w:rPr>
          <w:sz w:val="24"/>
        </w:rPr>
        <w:t xml:space="preserve">The soils </w:t>
      </w:r>
      <w:r w:rsidR="00AC0364">
        <w:rPr>
          <w:sz w:val="24"/>
        </w:rPr>
        <w:t>to the west of</w:t>
      </w:r>
      <w:r w:rsidRPr="00CF785D">
        <w:rPr>
          <w:sz w:val="24"/>
        </w:rPr>
        <w:t xml:space="preserve"> the area were described and mapped by the Alberta Soil Survey (Kocaoglu 1975; Kocaoglu and Bennett 1983) and are typical of the boreal plains of northeastern Alberta. </w:t>
      </w:r>
      <w:r w:rsidR="004873CC">
        <w:rPr>
          <w:sz w:val="24"/>
        </w:rPr>
        <w:t xml:space="preserve">A soil map indicating agricultural potential illustrates </w:t>
      </w:r>
      <w:r w:rsidR="00FB72DE">
        <w:rPr>
          <w:sz w:val="24"/>
        </w:rPr>
        <w:t>those parts of the region</w:t>
      </w:r>
      <w:r w:rsidR="004873CC">
        <w:rPr>
          <w:sz w:val="24"/>
        </w:rPr>
        <w:t xml:space="preserve"> that have been cultivated or have cultivation potential (</w:t>
      </w:r>
      <w:r w:rsidR="00575CA7">
        <w:rPr>
          <w:sz w:val="24"/>
        </w:rPr>
        <w:fldChar w:fldCharType="begin"/>
      </w:r>
      <w:r w:rsidR="004873CC">
        <w:rPr>
          <w:sz w:val="24"/>
        </w:rPr>
        <w:instrText xml:space="preserve"> REF _Ref325472989 \h </w:instrText>
      </w:r>
      <w:r w:rsidR="00575CA7">
        <w:rPr>
          <w:sz w:val="24"/>
        </w:rPr>
      </w:r>
      <w:r w:rsidR="00575CA7">
        <w:rPr>
          <w:sz w:val="24"/>
        </w:rPr>
        <w:fldChar w:fldCharType="separate"/>
      </w:r>
      <w:r w:rsidR="003648B8">
        <w:t xml:space="preserve">Figure </w:t>
      </w:r>
      <w:r w:rsidR="003648B8">
        <w:rPr>
          <w:noProof/>
        </w:rPr>
        <w:t>54</w:t>
      </w:r>
      <w:r w:rsidR="00575CA7">
        <w:rPr>
          <w:sz w:val="24"/>
        </w:rPr>
        <w:fldChar w:fldCharType="end"/>
      </w:r>
      <w:r w:rsidR="004873CC">
        <w:rPr>
          <w:sz w:val="24"/>
        </w:rPr>
        <w:t xml:space="preserve">). </w:t>
      </w:r>
      <w:r w:rsidR="00FB72DE">
        <w:rPr>
          <w:sz w:val="24"/>
        </w:rPr>
        <w:t>Soils</w:t>
      </w:r>
      <w:r w:rsidRPr="00CF785D">
        <w:rPr>
          <w:sz w:val="24"/>
        </w:rPr>
        <w:t xml:space="preserve"> vary over the undulating topography in the general region, with Orthic Gray Luvisol and Eutric Brunisols dominating the upland aspen portion of the topographic gradient (Wynnyk et al. 1963). Parent material is mostly sedimentary rocks weathered in situ or translocated by glacial activity.</w:t>
      </w:r>
    </w:p>
    <w:p w:rsidR="000C47B7" w:rsidRPr="00CF785D" w:rsidRDefault="000C47B7" w:rsidP="000C47B7">
      <w:pPr>
        <w:pStyle w:val="GeneralText"/>
        <w:widowControl w:val="0"/>
        <w:numPr>
          <w:ilvl w:val="12"/>
          <w:numId w:val="0"/>
        </w:numPr>
        <w:rPr>
          <w:sz w:val="24"/>
        </w:rPr>
      </w:pPr>
      <w:r w:rsidRPr="00CF785D">
        <w:rPr>
          <w:sz w:val="24"/>
        </w:rPr>
        <w:t>Most soils are classified as sandy clay loam with a clay content of 20</w:t>
      </w:r>
      <w:r w:rsidRPr="00CF785D">
        <w:rPr>
          <w:sz w:val="24"/>
        </w:rPr>
        <w:softHyphen/>
        <w:t>–40%. Gray luvisols predominate on moderately well</w:t>
      </w:r>
      <w:r w:rsidRPr="00CF785D">
        <w:rPr>
          <w:sz w:val="24"/>
        </w:rPr>
        <w:softHyphen/>
        <w:t>-drained, medium</w:t>
      </w:r>
      <w:r w:rsidRPr="00CF785D">
        <w:rPr>
          <w:sz w:val="24"/>
        </w:rPr>
        <w:softHyphen/>
        <w:t>-textured moraine and lacustrine material. These soils are most commonly formed beneath forest canopies on well- to imperfectly drained deposits. Well</w:t>
      </w:r>
      <w:r w:rsidRPr="00CF785D">
        <w:rPr>
          <w:sz w:val="24"/>
        </w:rPr>
        <w:softHyphen/>
        <w:t xml:space="preserve">-drained glaciofluvial and eolian sands are characterized by dystric and eutric brunisols. Organic soils occur in bogs, fens, </w:t>
      </w:r>
      <w:proofErr w:type="gramStart"/>
      <w:r w:rsidRPr="00CF785D">
        <w:rPr>
          <w:sz w:val="24"/>
        </w:rPr>
        <w:t>peatlands</w:t>
      </w:r>
      <w:proofErr w:type="gramEnd"/>
      <w:r w:rsidRPr="00CF785D">
        <w:rPr>
          <w:sz w:val="24"/>
        </w:rPr>
        <w:t xml:space="preserve"> and along most riparian channels.</w:t>
      </w:r>
    </w:p>
    <w:p w:rsidR="005330BC" w:rsidRDefault="000C47B7" w:rsidP="00CF785D">
      <w:pPr>
        <w:pStyle w:val="GeneralText"/>
        <w:numPr>
          <w:ilvl w:val="12"/>
          <w:numId w:val="0"/>
        </w:numPr>
        <w:rPr>
          <w:sz w:val="24"/>
          <w:szCs w:val="22"/>
        </w:rPr>
      </w:pPr>
      <w:r w:rsidRPr="00CF785D">
        <w:rPr>
          <w:sz w:val="24"/>
          <w:szCs w:val="22"/>
        </w:rPr>
        <w:t>The climate of the study region is continental, humid to sub</w:t>
      </w:r>
      <w:r w:rsidRPr="00CF785D">
        <w:rPr>
          <w:sz w:val="24"/>
          <w:szCs w:val="22"/>
        </w:rPr>
        <w:softHyphen/>
        <w:t>-humid, and microthermal (Dcf, Koeppen) with cold winters (daily mean</w:t>
      </w:r>
      <w:r w:rsidR="00CF785D" w:rsidRPr="00CF785D">
        <w:rPr>
          <w:sz w:val="24"/>
          <w:szCs w:val="22"/>
        </w:rPr>
        <w:t xml:space="preserve"> temperature </w:t>
      </w:r>
      <w:r w:rsidR="00CF785D" w:rsidRPr="00CF785D">
        <w:rPr>
          <w:sz w:val="24"/>
          <w:szCs w:val="22"/>
        </w:rPr>
        <w:softHyphen/>
        <w:t>–15.2</w:t>
      </w:r>
      <w:r w:rsidR="00CF785D" w:rsidRPr="00CF785D">
        <w:rPr>
          <w:position w:val="2"/>
          <w:sz w:val="24"/>
          <w:szCs w:val="22"/>
        </w:rPr>
        <w:t>°</w:t>
      </w:r>
      <w:r w:rsidR="00CF785D" w:rsidRPr="00CF785D">
        <w:rPr>
          <w:sz w:val="24"/>
          <w:szCs w:val="22"/>
        </w:rPr>
        <w:t xml:space="preserve">C </w:t>
      </w:r>
      <w:r w:rsidR="00CF785D" w:rsidRPr="00CF785D">
        <w:rPr>
          <w:position w:val="2"/>
          <w:sz w:val="24"/>
          <w:szCs w:val="22"/>
        </w:rPr>
        <w:t>±</w:t>
      </w:r>
      <w:r w:rsidR="00CF785D" w:rsidRPr="00CF785D">
        <w:rPr>
          <w:sz w:val="24"/>
          <w:szCs w:val="22"/>
        </w:rPr>
        <w:t xml:space="preserve"> 4.8 S.D.) and hot summers (daily mean temperature 14.9</w:t>
      </w:r>
      <w:r w:rsidR="00CF785D" w:rsidRPr="00CF785D">
        <w:rPr>
          <w:position w:val="2"/>
          <w:sz w:val="24"/>
          <w:szCs w:val="22"/>
        </w:rPr>
        <w:t>°</w:t>
      </w:r>
      <w:r w:rsidR="00CF785D" w:rsidRPr="00CF785D">
        <w:rPr>
          <w:sz w:val="24"/>
          <w:szCs w:val="22"/>
        </w:rPr>
        <w:t xml:space="preserve">C </w:t>
      </w:r>
      <w:r w:rsidR="00CF785D" w:rsidRPr="00CF785D">
        <w:rPr>
          <w:position w:val="2"/>
          <w:sz w:val="24"/>
          <w:szCs w:val="22"/>
        </w:rPr>
        <w:t>±</w:t>
      </w:r>
      <w:r w:rsidR="00CF785D" w:rsidRPr="00CF785D">
        <w:rPr>
          <w:sz w:val="24"/>
          <w:szCs w:val="22"/>
        </w:rPr>
        <w:t xml:space="preserve"> 1.2 S.D.) </w:t>
      </w:r>
      <w:proofErr w:type="gramStart"/>
      <w:r w:rsidR="00CF785D" w:rsidRPr="00CF785D">
        <w:rPr>
          <w:sz w:val="24"/>
          <w:szCs w:val="22"/>
        </w:rPr>
        <w:t>(Longley 1970;</w:t>
      </w:r>
      <w:r w:rsidR="004873CC">
        <w:rPr>
          <w:sz w:val="24"/>
          <w:szCs w:val="22"/>
        </w:rPr>
        <w:t xml:space="preserve"> </w:t>
      </w:r>
      <w:r w:rsidR="00575CA7">
        <w:rPr>
          <w:sz w:val="24"/>
          <w:szCs w:val="22"/>
        </w:rPr>
        <w:fldChar w:fldCharType="begin"/>
      </w:r>
      <w:r w:rsidR="004873CC">
        <w:rPr>
          <w:sz w:val="24"/>
          <w:szCs w:val="22"/>
        </w:rPr>
        <w:instrText xml:space="preserve"> REF _Ref325826494 \h </w:instrText>
      </w:r>
      <w:r w:rsidR="00575CA7">
        <w:rPr>
          <w:sz w:val="24"/>
          <w:szCs w:val="22"/>
        </w:rPr>
      </w:r>
      <w:r w:rsidR="00575CA7">
        <w:rPr>
          <w:sz w:val="24"/>
          <w:szCs w:val="22"/>
        </w:rPr>
        <w:fldChar w:fldCharType="separate"/>
      </w:r>
      <w:r w:rsidR="003648B8">
        <w:t xml:space="preserve">Table </w:t>
      </w:r>
      <w:r w:rsidR="003648B8">
        <w:rPr>
          <w:noProof/>
        </w:rPr>
        <w:t>1</w:t>
      </w:r>
      <w:r w:rsidR="00575CA7">
        <w:rPr>
          <w:sz w:val="24"/>
          <w:szCs w:val="22"/>
        </w:rPr>
        <w:fldChar w:fldCharType="end"/>
      </w:r>
      <w:r w:rsidR="00CF785D" w:rsidRPr="00CF785D">
        <w:rPr>
          <w:sz w:val="24"/>
          <w:szCs w:val="22"/>
        </w:rPr>
        <w:t>).</w:t>
      </w:r>
      <w:proofErr w:type="gramEnd"/>
      <w:r w:rsidR="00CF785D" w:rsidRPr="00CF785D">
        <w:rPr>
          <w:sz w:val="24"/>
          <w:szCs w:val="22"/>
        </w:rPr>
        <w:t xml:space="preserve"> </w:t>
      </w:r>
      <w:r w:rsidR="00745F97">
        <w:rPr>
          <w:sz w:val="24"/>
          <w:szCs w:val="22"/>
        </w:rPr>
        <w:t xml:space="preserve"> </w:t>
      </w:r>
      <w:r w:rsidR="00AC0364">
        <w:rPr>
          <w:sz w:val="24"/>
          <w:szCs w:val="22"/>
        </w:rPr>
        <w:t>Average precipitation and temperature of the CLFN</w:t>
      </w:r>
      <w:r w:rsidR="00C619FF">
        <w:rPr>
          <w:sz w:val="24"/>
          <w:szCs w:val="22"/>
        </w:rPr>
        <w:t xml:space="preserve"> SA</w:t>
      </w:r>
      <w:r w:rsidR="00AC0364">
        <w:rPr>
          <w:sz w:val="24"/>
          <w:szCs w:val="22"/>
        </w:rPr>
        <w:t xml:space="preserve">, relative to Alberta, are shown in </w:t>
      </w:r>
      <w:r w:rsidR="00575CA7">
        <w:rPr>
          <w:sz w:val="24"/>
          <w:szCs w:val="22"/>
        </w:rPr>
        <w:fldChar w:fldCharType="begin"/>
      </w:r>
      <w:r w:rsidR="00671368">
        <w:rPr>
          <w:sz w:val="24"/>
          <w:szCs w:val="22"/>
        </w:rPr>
        <w:instrText xml:space="preserve"> REF _Ref325446883 \h </w:instrText>
      </w:r>
      <w:r w:rsidR="00575CA7">
        <w:rPr>
          <w:sz w:val="24"/>
          <w:szCs w:val="22"/>
        </w:rPr>
      </w:r>
      <w:r w:rsidR="00575CA7">
        <w:rPr>
          <w:sz w:val="24"/>
          <w:szCs w:val="22"/>
        </w:rPr>
        <w:fldChar w:fldCharType="separate"/>
      </w:r>
      <w:r w:rsidR="003648B8">
        <w:t xml:space="preserve">Figure </w:t>
      </w:r>
      <w:r w:rsidR="003648B8">
        <w:rPr>
          <w:noProof/>
        </w:rPr>
        <w:t>5</w:t>
      </w:r>
      <w:r w:rsidR="00575CA7">
        <w:rPr>
          <w:sz w:val="24"/>
          <w:szCs w:val="22"/>
        </w:rPr>
        <w:fldChar w:fldCharType="end"/>
      </w:r>
      <w:r w:rsidR="005330BC">
        <w:rPr>
          <w:sz w:val="24"/>
          <w:szCs w:val="22"/>
        </w:rPr>
        <w:t>.</w:t>
      </w:r>
    </w:p>
    <w:p w:rsidR="00594D07" w:rsidRDefault="005330BC" w:rsidP="00CF785D">
      <w:pPr>
        <w:pStyle w:val="GeneralText"/>
        <w:numPr>
          <w:ilvl w:val="12"/>
          <w:numId w:val="0"/>
        </w:numPr>
        <w:rPr>
          <w:sz w:val="24"/>
          <w:szCs w:val="22"/>
        </w:rPr>
      </w:pPr>
      <w:r>
        <w:rPr>
          <w:sz w:val="24"/>
          <w:szCs w:val="22"/>
        </w:rPr>
        <w:t xml:space="preserve">Surface water was an important source of transportation to the CLFN. </w:t>
      </w:r>
      <w:r w:rsidR="00594D07">
        <w:rPr>
          <w:sz w:val="24"/>
          <w:szCs w:val="22"/>
        </w:rPr>
        <w:t>Surface water, both moving (lotic) and standing (lentic) are common features of the study area (</w:t>
      </w:r>
      <w:r w:rsidR="00575CA7">
        <w:rPr>
          <w:sz w:val="24"/>
          <w:szCs w:val="22"/>
        </w:rPr>
        <w:fldChar w:fldCharType="begin"/>
      </w:r>
      <w:r>
        <w:rPr>
          <w:sz w:val="24"/>
          <w:szCs w:val="22"/>
        </w:rPr>
        <w:instrText xml:space="preserve"> REF _Ref325447567 \h </w:instrText>
      </w:r>
      <w:r w:rsidR="00575CA7">
        <w:rPr>
          <w:sz w:val="24"/>
          <w:szCs w:val="22"/>
        </w:rPr>
      </w:r>
      <w:r w:rsidR="00575CA7">
        <w:rPr>
          <w:sz w:val="24"/>
          <w:szCs w:val="22"/>
        </w:rPr>
        <w:fldChar w:fldCharType="separate"/>
      </w:r>
      <w:r w:rsidR="003648B8">
        <w:t xml:space="preserve">Figure </w:t>
      </w:r>
      <w:r w:rsidR="003648B8">
        <w:rPr>
          <w:noProof/>
        </w:rPr>
        <w:t>6</w:t>
      </w:r>
      <w:r w:rsidR="00575CA7">
        <w:rPr>
          <w:sz w:val="24"/>
          <w:szCs w:val="22"/>
        </w:rPr>
        <w:fldChar w:fldCharType="end"/>
      </w:r>
      <w:r>
        <w:rPr>
          <w:sz w:val="24"/>
          <w:szCs w:val="22"/>
        </w:rPr>
        <w:t>,</w:t>
      </w:r>
      <w:r w:rsidR="009D458C">
        <w:rPr>
          <w:sz w:val="24"/>
          <w:szCs w:val="22"/>
        </w:rPr>
        <w:t xml:space="preserve"> </w:t>
      </w:r>
      <w:r w:rsidR="00575CA7">
        <w:rPr>
          <w:sz w:val="24"/>
          <w:szCs w:val="22"/>
        </w:rPr>
        <w:fldChar w:fldCharType="begin"/>
      </w:r>
      <w:r w:rsidR="009D458C">
        <w:rPr>
          <w:sz w:val="24"/>
          <w:szCs w:val="22"/>
        </w:rPr>
        <w:instrText xml:space="preserve"> REF _Ref325447571 \h </w:instrText>
      </w:r>
      <w:r w:rsidR="00575CA7">
        <w:rPr>
          <w:sz w:val="24"/>
          <w:szCs w:val="22"/>
        </w:rPr>
      </w:r>
      <w:r w:rsidR="00575CA7">
        <w:rPr>
          <w:sz w:val="24"/>
          <w:szCs w:val="22"/>
        </w:rPr>
        <w:fldChar w:fldCharType="separate"/>
      </w:r>
      <w:r w:rsidR="003648B8">
        <w:t xml:space="preserve">Figure </w:t>
      </w:r>
      <w:r w:rsidR="003648B8">
        <w:rPr>
          <w:noProof/>
        </w:rPr>
        <w:t>7</w:t>
      </w:r>
      <w:r w:rsidR="00575CA7">
        <w:rPr>
          <w:sz w:val="24"/>
          <w:szCs w:val="22"/>
        </w:rPr>
        <w:fldChar w:fldCharType="end"/>
      </w:r>
      <w:r w:rsidR="009D458C">
        <w:rPr>
          <w:sz w:val="24"/>
          <w:szCs w:val="22"/>
        </w:rPr>
        <w:t xml:space="preserve">, </w:t>
      </w:r>
      <w:r w:rsidR="00575CA7">
        <w:rPr>
          <w:sz w:val="24"/>
          <w:szCs w:val="22"/>
        </w:rPr>
        <w:fldChar w:fldCharType="begin"/>
      </w:r>
      <w:r w:rsidR="009D458C">
        <w:rPr>
          <w:sz w:val="24"/>
          <w:szCs w:val="22"/>
        </w:rPr>
        <w:instrText xml:space="preserve"> REF _Ref326233587 \h </w:instrText>
      </w:r>
      <w:r w:rsidR="00575CA7">
        <w:rPr>
          <w:sz w:val="24"/>
          <w:szCs w:val="22"/>
        </w:rPr>
      </w:r>
      <w:r w:rsidR="00575CA7">
        <w:rPr>
          <w:sz w:val="24"/>
          <w:szCs w:val="22"/>
        </w:rPr>
        <w:fldChar w:fldCharType="separate"/>
      </w:r>
      <w:r w:rsidR="003648B8">
        <w:t xml:space="preserve">Figure </w:t>
      </w:r>
      <w:r w:rsidR="003648B8">
        <w:rPr>
          <w:noProof/>
        </w:rPr>
        <w:t>8</w:t>
      </w:r>
      <w:r w:rsidR="00575CA7">
        <w:rPr>
          <w:sz w:val="24"/>
          <w:szCs w:val="22"/>
        </w:rPr>
        <w:fldChar w:fldCharType="end"/>
      </w:r>
      <w:r w:rsidR="00594D07">
        <w:rPr>
          <w:sz w:val="24"/>
          <w:szCs w:val="22"/>
        </w:rPr>
        <w:t>), w</w:t>
      </w:r>
      <w:r w:rsidR="004873CC">
        <w:rPr>
          <w:sz w:val="24"/>
          <w:szCs w:val="22"/>
        </w:rPr>
        <w:t>ith lentic features comprising 8.3</w:t>
      </w:r>
      <w:r w:rsidR="00594D07">
        <w:rPr>
          <w:sz w:val="24"/>
          <w:szCs w:val="22"/>
        </w:rPr>
        <w:t xml:space="preserve">% and lotic features comprising </w:t>
      </w:r>
      <w:r w:rsidR="004873CC">
        <w:rPr>
          <w:sz w:val="24"/>
          <w:szCs w:val="22"/>
        </w:rPr>
        <w:t>0.19</w:t>
      </w:r>
      <w:r w:rsidR="00594D07">
        <w:rPr>
          <w:sz w:val="24"/>
          <w:szCs w:val="22"/>
        </w:rPr>
        <w:t xml:space="preserve">% of </w:t>
      </w:r>
      <w:r w:rsidR="00E72DE1">
        <w:rPr>
          <w:sz w:val="24"/>
          <w:szCs w:val="22"/>
        </w:rPr>
        <w:t>CLFN SA</w:t>
      </w:r>
      <w:r w:rsidR="00594D07">
        <w:rPr>
          <w:sz w:val="24"/>
          <w:szCs w:val="22"/>
        </w:rPr>
        <w:t xml:space="preserve">. </w:t>
      </w:r>
      <w:r>
        <w:rPr>
          <w:sz w:val="24"/>
          <w:szCs w:val="22"/>
        </w:rPr>
        <w:t xml:space="preserve">Metrics of selected lake bodies are summarized in </w:t>
      </w:r>
      <w:r w:rsidR="00575CA7">
        <w:rPr>
          <w:sz w:val="24"/>
          <w:szCs w:val="22"/>
        </w:rPr>
        <w:fldChar w:fldCharType="begin"/>
      </w:r>
      <w:r>
        <w:rPr>
          <w:sz w:val="24"/>
          <w:szCs w:val="22"/>
        </w:rPr>
        <w:instrText xml:space="preserve"> REF _Ref325447783 \h </w:instrText>
      </w:r>
      <w:r w:rsidR="00575CA7">
        <w:rPr>
          <w:sz w:val="24"/>
          <w:szCs w:val="22"/>
        </w:rPr>
      </w:r>
      <w:r w:rsidR="00575CA7">
        <w:rPr>
          <w:sz w:val="24"/>
          <w:szCs w:val="22"/>
        </w:rPr>
        <w:fldChar w:fldCharType="separate"/>
      </w:r>
      <w:r w:rsidR="003648B8">
        <w:t xml:space="preserve">Figure </w:t>
      </w:r>
      <w:r w:rsidR="003648B8">
        <w:rPr>
          <w:noProof/>
        </w:rPr>
        <w:t>9</w:t>
      </w:r>
      <w:r w:rsidR="00575CA7">
        <w:rPr>
          <w:sz w:val="24"/>
          <w:szCs w:val="22"/>
        </w:rPr>
        <w:fldChar w:fldCharType="end"/>
      </w:r>
      <w:r>
        <w:rPr>
          <w:sz w:val="24"/>
          <w:szCs w:val="22"/>
        </w:rPr>
        <w:t xml:space="preserve">. </w:t>
      </w:r>
      <w:r w:rsidR="00594D07">
        <w:rPr>
          <w:sz w:val="24"/>
          <w:szCs w:val="22"/>
        </w:rPr>
        <w:t>Reduction in volume flow of the Beaver River during the past sever</w:t>
      </w:r>
      <w:r w:rsidR="00671368">
        <w:rPr>
          <w:sz w:val="24"/>
          <w:szCs w:val="22"/>
        </w:rPr>
        <w:t xml:space="preserve">al decades </w:t>
      </w:r>
      <w:r w:rsidR="004873CC">
        <w:rPr>
          <w:sz w:val="24"/>
          <w:szCs w:val="22"/>
        </w:rPr>
        <w:t>(</w:t>
      </w:r>
      <w:r w:rsidR="00575CA7">
        <w:rPr>
          <w:sz w:val="24"/>
          <w:szCs w:val="22"/>
        </w:rPr>
        <w:fldChar w:fldCharType="begin"/>
      </w:r>
      <w:r w:rsidR="009D458C">
        <w:rPr>
          <w:sz w:val="24"/>
          <w:szCs w:val="22"/>
        </w:rPr>
        <w:instrText xml:space="preserve"> REF _Ref326233781 \h </w:instrText>
      </w:r>
      <w:r w:rsidR="00575CA7">
        <w:rPr>
          <w:sz w:val="24"/>
          <w:szCs w:val="22"/>
        </w:rPr>
      </w:r>
      <w:r w:rsidR="00575CA7">
        <w:rPr>
          <w:sz w:val="24"/>
          <w:szCs w:val="22"/>
        </w:rPr>
        <w:fldChar w:fldCharType="separate"/>
      </w:r>
      <w:r w:rsidR="003648B8">
        <w:t xml:space="preserve">Figure </w:t>
      </w:r>
      <w:r w:rsidR="003648B8">
        <w:rPr>
          <w:noProof/>
        </w:rPr>
        <w:t>10</w:t>
      </w:r>
      <w:r w:rsidR="00575CA7">
        <w:rPr>
          <w:sz w:val="24"/>
          <w:szCs w:val="22"/>
        </w:rPr>
        <w:fldChar w:fldCharType="end"/>
      </w:r>
      <w:r w:rsidR="004873CC">
        <w:rPr>
          <w:sz w:val="24"/>
          <w:szCs w:val="22"/>
        </w:rPr>
        <w:t xml:space="preserve">) </w:t>
      </w:r>
      <w:r w:rsidR="00594D07">
        <w:rPr>
          <w:sz w:val="24"/>
          <w:szCs w:val="22"/>
        </w:rPr>
        <w:t xml:space="preserve">appear correlated to </w:t>
      </w:r>
      <w:r w:rsidR="004873CC">
        <w:rPr>
          <w:sz w:val="24"/>
          <w:szCs w:val="22"/>
        </w:rPr>
        <w:t xml:space="preserve">a declining </w:t>
      </w:r>
      <w:r w:rsidR="00594D07">
        <w:rPr>
          <w:sz w:val="24"/>
          <w:szCs w:val="22"/>
        </w:rPr>
        <w:t>precipitation</w:t>
      </w:r>
      <w:r w:rsidR="004873CC">
        <w:rPr>
          <w:sz w:val="24"/>
          <w:szCs w:val="22"/>
        </w:rPr>
        <w:t xml:space="preserve"> trend</w:t>
      </w:r>
      <w:r w:rsidR="00594D07">
        <w:rPr>
          <w:sz w:val="24"/>
          <w:szCs w:val="22"/>
        </w:rPr>
        <w:t xml:space="preserve"> </w:t>
      </w:r>
      <w:r w:rsidR="009D458C">
        <w:rPr>
          <w:sz w:val="24"/>
          <w:szCs w:val="22"/>
        </w:rPr>
        <w:t>(</w:t>
      </w:r>
      <w:r w:rsidR="00575CA7">
        <w:rPr>
          <w:sz w:val="24"/>
          <w:szCs w:val="22"/>
        </w:rPr>
        <w:fldChar w:fldCharType="begin"/>
      </w:r>
      <w:r w:rsidR="009D458C">
        <w:rPr>
          <w:sz w:val="24"/>
          <w:szCs w:val="22"/>
        </w:rPr>
        <w:instrText xml:space="preserve"> REF _Ref325446945 \h </w:instrText>
      </w:r>
      <w:r w:rsidR="00575CA7">
        <w:rPr>
          <w:sz w:val="24"/>
          <w:szCs w:val="22"/>
        </w:rPr>
      </w:r>
      <w:r w:rsidR="00575CA7">
        <w:rPr>
          <w:sz w:val="24"/>
          <w:szCs w:val="22"/>
        </w:rPr>
        <w:fldChar w:fldCharType="separate"/>
      </w:r>
      <w:r w:rsidR="003648B8">
        <w:t xml:space="preserve">Figure </w:t>
      </w:r>
      <w:r w:rsidR="003648B8">
        <w:rPr>
          <w:noProof/>
        </w:rPr>
        <w:t>11</w:t>
      </w:r>
      <w:r w:rsidR="00575CA7">
        <w:rPr>
          <w:sz w:val="24"/>
          <w:szCs w:val="22"/>
        </w:rPr>
        <w:fldChar w:fldCharType="end"/>
      </w:r>
      <w:r w:rsidR="009D458C">
        <w:rPr>
          <w:sz w:val="24"/>
          <w:szCs w:val="22"/>
        </w:rPr>
        <w:t xml:space="preserve">) </w:t>
      </w:r>
      <w:r w:rsidR="004873CC">
        <w:rPr>
          <w:sz w:val="24"/>
          <w:szCs w:val="22"/>
        </w:rPr>
        <w:t>but also</w:t>
      </w:r>
      <w:r w:rsidR="00594D07">
        <w:rPr>
          <w:sz w:val="24"/>
          <w:szCs w:val="22"/>
        </w:rPr>
        <w:t xml:space="preserve"> suggest the importance of net </w:t>
      </w:r>
      <w:r>
        <w:rPr>
          <w:sz w:val="24"/>
          <w:szCs w:val="22"/>
        </w:rPr>
        <w:t xml:space="preserve">upstream </w:t>
      </w:r>
      <w:r w:rsidR="00594D07">
        <w:rPr>
          <w:sz w:val="24"/>
          <w:szCs w:val="22"/>
        </w:rPr>
        <w:t>extracti</w:t>
      </w:r>
      <w:r w:rsidR="0075338E">
        <w:rPr>
          <w:sz w:val="24"/>
          <w:szCs w:val="22"/>
        </w:rPr>
        <w:t xml:space="preserve">ons </w:t>
      </w:r>
      <w:r>
        <w:rPr>
          <w:sz w:val="24"/>
          <w:szCs w:val="22"/>
        </w:rPr>
        <w:t xml:space="preserve">of water </w:t>
      </w:r>
      <w:r w:rsidR="0075338E">
        <w:rPr>
          <w:sz w:val="24"/>
          <w:szCs w:val="22"/>
        </w:rPr>
        <w:t>relating to agriculture</w:t>
      </w:r>
      <w:r>
        <w:rPr>
          <w:sz w:val="24"/>
          <w:szCs w:val="22"/>
        </w:rPr>
        <w:t>, domestic demand,</w:t>
      </w:r>
      <w:r w:rsidR="0075338E">
        <w:rPr>
          <w:sz w:val="24"/>
          <w:szCs w:val="22"/>
        </w:rPr>
        <w:t xml:space="preserve"> and</w:t>
      </w:r>
      <w:r w:rsidR="00594D07">
        <w:rPr>
          <w:sz w:val="24"/>
          <w:szCs w:val="22"/>
        </w:rPr>
        <w:t xml:space="preserve"> other </w:t>
      </w:r>
      <w:r w:rsidR="00C544DE">
        <w:rPr>
          <w:sz w:val="24"/>
          <w:szCs w:val="22"/>
        </w:rPr>
        <w:t>land-use</w:t>
      </w:r>
      <w:r w:rsidR="00594D07">
        <w:rPr>
          <w:sz w:val="24"/>
          <w:szCs w:val="22"/>
        </w:rPr>
        <w:t>s.</w:t>
      </w:r>
    </w:p>
    <w:p w:rsidR="002158ED" w:rsidRDefault="002158ED" w:rsidP="002158ED">
      <w:pPr>
        <w:pStyle w:val="Heading2"/>
      </w:pPr>
      <w:bookmarkStart w:id="15" w:name="_Toc338703680"/>
      <w:r>
        <w:lastRenderedPageBreak/>
        <w:t>Plant Community Structure</w:t>
      </w:r>
      <w:bookmarkEnd w:id="15"/>
    </w:p>
    <w:p w:rsidR="00030E16" w:rsidRPr="00030E16" w:rsidRDefault="00030E16" w:rsidP="00030E16">
      <w:pPr>
        <w:pStyle w:val="GeneralText"/>
        <w:rPr>
          <w:sz w:val="24"/>
          <w:szCs w:val="22"/>
        </w:rPr>
      </w:pPr>
      <w:r w:rsidRPr="00CF785D">
        <w:rPr>
          <w:sz w:val="24"/>
          <w:szCs w:val="22"/>
        </w:rPr>
        <w:t>The boreal mixedwood forest is a mosaic landscape comprised of stands that vary in tree composition, age, size, shape, and dispersion (Peterson and Peterson 1992</w:t>
      </w:r>
      <w:r w:rsidR="00671368">
        <w:rPr>
          <w:sz w:val="24"/>
          <w:szCs w:val="22"/>
        </w:rPr>
        <w:t xml:space="preserve">; </w:t>
      </w:r>
      <w:r w:rsidR="00575CA7">
        <w:rPr>
          <w:sz w:val="24"/>
          <w:szCs w:val="22"/>
        </w:rPr>
        <w:fldChar w:fldCharType="begin"/>
      </w:r>
      <w:r w:rsidR="00671368">
        <w:rPr>
          <w:sz w:val="24"/>
          <w:szCs w:val="22"/>
        </w:rPr>
        <w:instrText xml:space="preserve"> REF _Ref325387348 \h </w:instrText>
      </w:r>
      <w:r w:rsidR="00575CA7">
        <w:rPr>
          <w:sz w:val="24"/>
          <w:szCs w:val="22"/>
        </w:rPr>
      </w:r>
      <w:r w:rsidR="00575CA7">
        <w:rPr>
          <w:sz w:val="24"/>
          <w:szCs w:val="22"/>
        </w:rPr>
        <w:fldChar w:fldCharType="separate"/>
      </w:r>
      <w:r w:rsidR="003648B8">
        <w:t xml:space="preserve">Figure </w:t>
      </w:r>
      <w:r w:rsidR="003648B8">
        <w:rPr>
          <w:noProof/>
        </w:rPr>
        <w:t>4</w:t>
      </w:r>
      <w:r w:rsidR="00575CA7">
        <w:rPr>
          <w:sz w:val="24"/>
          <w:szCs w:val="22"/>
        </w:rPr>
        <w:fldChar w:fldCharType="end"/>
      </w:r>
      <w:r w:rsidR="00E33B2B">
        <w:rPr>
          <w:sz w:val="24"/>
          <w:szCs w:val="22"/>
        </w:rPr>
        <w:t xml:space="preserve">, </w:t>
      </w:r>
      <w:r w:rsidR="00575CA7">
        <w:rPr>
          <w:sz w:val="24"/>
          <w:szCs w:val="22"/>
        </w:rPr>
        <w:fldChar w:fldCharType="begin"/>
      </w:r>
      <w:r w:rsidR="00E33B2B">
        <w:rPr>
          <w:sz w:val="24"/>
          <w:szCs w:val="22"/>
        </w:rPr>
        <w:instrText xml:space="preserve"> REF _Ref326236109 \h </w:instrText>
      </w:r>
      <w:r w:rsidR="00575CA7">
        <w:rPr>
          <w:sz w:val="24"/>
          <w:szCs w:val="22"/>
        </w:rPr>
      </w:r>
      <w:r w:rsidR="00575CA7">
        <w:rPr>
          <w:sz w:val="24"/>
          <w:szCs w:val="22"/>
        </w:rPr>
        <w:fldChar w:fldCharType="separate"/>
      </w:r>
      <w:r w:rsidR="003648B8">
        <w:t xml:space="preserve">Figure </w:t>
      </w:r>
      <w:r w:rsidR="003648B8">
        <w:rPr>
          <w:noProof/>
        </w:rPr>
        <w:t>15</w:t>
      </w:r>
      <w:r w:rsidR="00575CA7">
        <w:rPr>
          <w:sz w:val="24"/>
          <w:szCs w:val="22"/>
        </w:rPr>
        <w:fldChar w:fldCharType="end"/>
      </w:r>
      <w:r w:rsidRPr="00CF785D">
        <w:rPr>
          <w:sz w:val="24"/>
          <w:szCs w:val="22"/>
        </w:rPr>
        <w:t>). Trembling aspen and white spruce dominate boreal mixedwood on upland mesic sites with medium-textured soils. Past vegetation classifications in Alberta have largely focused on aspen as a seral stage for conifer-dominated climax communities (Corns and Annas 1986; La Roi 1992). However, aspen can also occur as a climax community throughout the low and mid mixedwood ecoregion (Fairbarns 1992; Kabzems et al. 1986). Although mixed stands of aspen and white spruce are typical of much of the boreal mixedwood region (Kabzems et al. 1976), pure stands of each species and others do occur (Thorpe 1992; Burton et al. 1994).</w:t>
      </w:r>
    </w:p>
    <w:p w:rsidR="00AC0364" w:rsidRPr="00CF785D" w:rsidRDefault="00AC0364" w:rsidP="00AC0364">
      <w:pPr>
        <w:pStyle w:val="GeneralText"/>
        <w:rPr>
          <w:sz w:val="24"/>
        </w:rPr>
      </w:pPr>
      <w:r w:rsidRPr="00CF785D">
        <w:rPr>
          <w:sz w:val="24"/>
        </w:rPr>
        <w:t>Balsam poplar, paper birch, black spruce, jack pine, tamarack, and balsam fir can be locally abundant throughout the boreal mixedwood forest. Topographically depressed areas with impaired drainage are generally dominated by black spruce and tamarack, whereas willow communities are common near lake margins and continuous and intermittent streams. Pines are found primarily in xeric sites.</w:t>
      </w:r>
    </w:p>
    <w:p w:rsidR="00594D07" w:rsidRDefault="00594D07" w:rsidP="004014B2">
      <w:pPr>
        <w:pStyle w:val="Heading2"/>
      </w:pPr>
      <w:bookmarkStart w:id="16" w:name="_Toc338703681"/>
      <w:r>
        <w:t>Natural Disturbances</w:t>
      </w:r>
      <w:bookmarkEnd w:id="16"/>
    </w:p>
    <w:p w:rsidR="00AC0364" w:rsidRPr="00CF785D" w:rsidRDefault="00AC0364" w:rsidP="00AC0364">
      <w:pPr>
        <w:pStyle w:val="GeneralText"/>
        <w:rPr>
          <w:sz w:val="24"/>
        </w:rPr>
      </w:pPr>
      <w:proofErr w:type="gramStart"/>
      <w:r w:rsidRPr="00CF785D">
        <w:rPr>
          <w:sz w:val="24"/>
        </w:rPr>
        <w:t>Although much of the variability found in forest communities is caused by variation in soil type, elevation, and topography (Oliver 1992), natural disturbances occurring since the retreat of continental glaciers have contributed to high levels of heterogeneity in boreal landscapes (Pickett and White 1985; Attiwill 1994</w:t>
      </w:r>
      <w:r w:rsidR="00671368">
        <w:rPr>
          <w:sz w:val="24"/>
        </w:rPr>
        <w:t xml:space="preserve">; </w:t>
      </w:r>
      <w:r w:rsidR="00575CA7">
        <w:rPr>
          <w:sz w:val="24"/>
        </w:rPr>
        <w:fldChar w:fldCharType="begin"/>
      </w:r>
      <w:r w:rsidR="00671368">
        <w:rPr>
          <w:sz w:val="24"/>
        </w:rPr>
        <w:instrText xml:space="preserve"> REF _Ref325446713 \h </w:instrText>
      </w:r>
      <w:r w:rsidR="00575CA7">
        <w:rPr>
          <w:sz w:val="24"/>
        </w:rPr>
      </w:r>
      <w:r w:rsidR="00575CA7">
        <w:rPr>
          <w:sz w:val="24"/>
        </w:rPr>
        <w:fldChar w:fldCharType="separate"/>
      </w:r>
      <w:r w:rsidR="003648B8">
        <w:t xml:space="preserve">Figure </w:t>
      </w:r>
      <w:r w:rsidR="003648B8">
        <w:rPr>
          <w:noProof/>
        </w:rPr>
        <w:t>12</w:t>
      </w:r>
      <w:r w:rsidR="00575CA7">
        <w:rPr>
          <w:sz w:val="24"/>
        </w:rPr>
        <w:fldChar w:fldCharType="end"/>
      </w:r>
      <w:r w:rsidRPr="00CF785D">
        <w:rPr>
          <w:sz w:val="24"/>
        </w:rPr>
        <w:t>).</w:t>
      </w:r>
      <w:proofErr w:type="gramEnd"/>
      <w:r w:rsidRPr="00CF785D">
        <w:rPr>
          <w:sz w:val="24"/>
        </w:rPr>
        <w:t xml:space="preserve"> During this post-glaciation period, boreal forests experienced flooding, insect attacks, and windstorms, but fire was the primary disturbance that shaped these communities (Rowe and Scotter 1973; Kelsall et al. 1977; Barney and Stocks 1983; Johnson 1992). Vegetation patterns created by fire on the boreal landscape are complex and dynamic because fire cycles vary both in space (Payette et al. 1989) and time (Bradshaw and Zackrisson 1990; Clark 1990; Bergeron 1991). Differences in stand size of boreal mixedwood forests caused by spatial variability in fire disturbance events have been reported by Rowe and Scotter (1972), Eberhart and Woodard (1987), Johnson (1992), and Engelmark et al. (1993).</w:t>
      </w:r>
      <w:r w:rsidR="0075338E">
        <w:rPr>
          <w:sz w:val="24"/>
        </w:rPr>
        <w:t xml:space="preserve"> Temporal and spatial </w:t>
      </w:r>
      <w:proofErr w:type="gramStart"/>
      <w:r w:rsidR="0075338E">
        <w:rPr>
          <w:sz w:val="24"/>
        </w:rPr>
        <w:t>variation in fires in northeast Alberta are</w:t>
      </w:r>
      <w:proofErr w:type="gramEnd"/>
      <w:r w:rsidR="0075338E">
        <w:rPr>
          <w:sz w:val="24"/>
        </w:rPr>
        <w:t xml:space="preserve"> shown in </w:t>
      </w:r>
      <w:r w:rsidR="00575CA7">
        <w:rPr>
          <w:sz w:val="24"/>
        </w:rPr>
        <w:fldChar w:fldCharType="begin"/>
      </w:r>
      <w:r w:rsidR="00671368">
        <w:rPr>
          <w:sz w:val="24"/>
        </w:rPr>
        <w:instrText xml:space="preserve"> REF _Ref325446746 \h </w:instrText>
      </w:r>
      <w:r w:rsidR="00575CA7">
        <w:rPr>
          <w:sz w:val="24"/>
        </w:rPr>
      </w:r>
      <w:r w:rsidR="00575CA7">
        <w:rPr>
          <w:sz w:val="24"/>
        </w:rPr>
        <w:fldChar w:fldCharType="separate"/>
      </w:r>
      <w:r w:rsidR="003648B8">
        <w:t xml:space="preserve">Figure </w:t>
      </w:r>
      <w:r w:rsidR="003648B8">
        <w:rPr>
          <w:noProof/>
        </w:rPr>
        <w:t>13</w:t>
      </w:r>
      <w:r w:rsidR="00575CA7">
        <w:rPr>
          <w:sz w:val="24"/>
        </w:rPr>
        <w:fldChar w:fldCharType="end"/>
      </w:r>
      <w:r w:rsidR="00671368">
        <w:rPr>
          <w:sz w:val="24"/>
        </w:rPr>
        <w:t xml:space="preserve"> </w:t>
      </w:r>
      <w:r w:rsidR="0075338E">
        <w:rPr>
          <w:sz w:val="24"/>
        </w:rPr>
        <w:t xml:space="preserve">and </w:t>
      </w:r>
      <w:r w:rsidR="00575CA7">
        <w:rPr>
          <w:sz w:val="24"/>
        </w:rPr>
        <w:fldChar w:fldCharType="begin"/>
      </w:r>
      <w:r w:rsidR="00671368">
        <w:rPr>
          <w:sz w:val="24"/>
        </w:rPr>
        <w:instrText xml:space="preserve"> REF _Ref325446759 \h </w:instrText>
      </w:r>
      <w:r w:rsidR="00575CA7">
        <w:rPr>
          <w:sz w:val="24"/>
        </w:rPr>
      </w:r>
      <w:r w:rsidR="00575CA7">
        <w:rPr>
          <w:sz w:val="24"/>
        </w:rPr>
        <w:fldChar w:fldCharType="separate"/>
      </w:r>
      <w:r w:rsidR="003648B8">
        <w:t xml:space="preserve">Figure </w:t>
      </w:r>
      <w:r w:rsidR="003648B8">
        <w:rPr>
          <w:noProof/>
        </w:rPr>
        <w:t>14</w:t>
      </w:r>
      <w:r w:rsidR="00575CA7">
        <w:rPr>
          <w:sz w:val="24"/>
        </w:rPr>
        <w:fldChar w:fldCharType="end"/>
      </w:r>
      <w:r w:rsidR="0075338E">
        <w:rPr>
          <w:sz w:val="24"/>
        </w:rPr>
        <w:t xml:space="preserve"> respectively.</w:t>
      </w:r>
    </w:p>
    <w:p w:rsidR="00AC0364" w:rsidRPr="00CF785D" w:rsidRDefault="00AC0364" w:rsidP="00AC0364">
      <w:pPr>
        <w:pStyle w:val="GeneralText"/>
        <w:rPr>
          <w:sz w:val="24"/>
        </w:rPr>
      </w:pPr>
      <w:r w:rsidRPr="00CF785D">
        <w:rPr>
          <w:sz w:val="24"/>
        </w:rPr>
        <w:t xml:space="preserve">During recent decades, the role of natural disturbances in boreal forest systems has changed as human </w:t>
      </w:r>
      <w:r w:rsidR="00C544DE">
        <w:rPr>
          <w:sz w:val="24"/>
        </w:rPr>
        <w:t>land-use</w:t>
      </w:r>
      <w:r w:rsidRPr="00CF785D">
        <w:rPr>
          <w:sz w:val="24"/>
        </w:rPr>
        <w:t xml:space="preserve"> practices and attitudes have altered the intensity, recurrence, and geographic extent of flooding, fire, and insect infestations. On the one hand, improved fire suppression may have reduced the rate of wildfire in the boreal mixedwood forests of Alberta during the last several decades (Murphy 1985; Delisle and Hall 1987; Burton et al. 1994). In the boreal forests of Alberta, fire return interval increased from 38 years in pre-settlement tim</w:t>
      </w:r>
      <w:r w:rsidR="00836B4C">
        <w:rPr>
          <w:sz w:val="24"/>
        </w:rPr>
        <w:t>es to 90 years by the late 1960</w:t>
      </w:r>
      <w:r w:rsidRPr="00CF785D">
        <w:rPr>
          <w:sz w:val="24"/>
        </w:rPr>
        <w:t xml:space="preserve">s (Murphy 1985). But, on the other hand, anthropogenic disturbances are now common and growing in prevalence in Alberta's boreal forests (Dancik et al. 1990). Some </w:t>
      </w:r>
      <w:r w:rsidR="00C544DE">
        <w:rPr>
          <w:sz w:val="24"/>
        </w:rPr>
        <w:t>land-use</w:t>
      </w:r>
      <w:r w:rsidRPr="00CF785D">
        <w:rPr>
          <w:sz w:val="24"/>
        </w:rPr>
        <w:t xml:space="preserve"> disturbances, such as agriculture, seismic activity, urban sprawl and transportation corridors, permanently remove patches or corridors of forests from the mixedwood mosaic. Other disturbances, such as commercial logging, permit the forest to persist, although in a different form and subjected to altered ecological processes (Maser 1994).</w:t>
      </w:r>
    </w:p>
    <w:p w:rsidR="00AC0364" w:rsidRPr="00CF785D" w:rsidRDefault="00AC0364" w:rsidP="00AC0364">
      <w:pPr>
        <w:pStyle w:val="GeneralText"/>
        <w:rPr>
          <w:sz w:val="24"/>
        </w:rPr>
      </w:pPr>
      <w:r w:rsidRPr="00CF785D">
        <w:rPr>
          <w:sz w:val="24"/>
        </w:rPr>
        <w:t>The current age structure of aspen mixedwood forests in northeastern Alberta varies fr</w:t>
      </w:r>
      <w:r w:rsidR="005330BC">
        <w:rPr>
          <w:sz w:val="24"/>
        </w:rPr>
        <w:t>om 0</w:t>
      </w:r>
      <w:r w:rsidR="005330BC">
        <w:rPr>
          <w:sz w:val="24"/>
        </w:rPr>
        <w:softHyphen/>
        <w:t xml:space="preserve"> to 150+ years</w:t>
      </w:r>
      <w:r w:rsidRPr="00CF785D">
        <w:rPr>
          <w:sz w:val="24"/>
        </w:rPr>
        <w:t xml:space="preserve"> (Alberta Land and Forest Services 1994). </w:t>
      </w:r>
      <w:r w:rsidR="005330BC">
        <w:rPr>
          <w:sz w:val="24"/>
        </w:rPr>
        <w:t xml:space="preserve">The initial forest age class structure of forests in </w:t>
      </w:r>
      <w:r w:rsidR="00C619FF">
        <w:rPr>
          <w:sz w:val="24"/>
        </w:rPr>
        <w:t>CLFN SA</w:t>
      </w:r>
      <w:r w:rsidR="005330BC">
        <w:rPr>
          <w:sz w:val="24"/>
        </w:rPr>
        <w:t xml:space="preserve"> is shown in </w:t>
      </w:r>
      <w:r w:rsidR="00575CA7">
        <w:rPr>
          <w:sz w:val="24"/>
        </w:rPr>
        <w:fldChar w:fldCharType="begin"/>
      </w:r>
      <w:r w:rsidR="005330BC">
        <w:rPr>
          <w:sz w:val="24"/>
        </w:rPr>
        <w:instrText xml:space="preserve"> REF _Ref325447930 \h </w:instrText>
      </w:r>
      <w:r w:rsidR="00575CA7">
        <w:rPr>
          <w:sz w:val="24"/>
        </w:rPr>
      </w:r>
      <w:r w:rsidR="00575CA7">
        <w:rPr>
          <w:sz w:val="24"/>
        </w:rPr>
        <w:fldChar w:fldCharType="separate"/>
      </w:r>
      <w:r w:rsidR="003648B8">
        <w:t xml:space="preserve">Figure </w:t>
      </w:r>
      <w:r w:rsidR="003648B8">
        <w:rPr>
          <w:noProof/>
        </w:rPr>
        <w:t>16</w:t>
      </w:r>
      <w:r w:rsidR="00575CA7">
        <w:rPr>
          <w:sz w:val="24"/>
        </w:rPr>
        <w:fldChar w:fldCharType="end"/>
      </w:r>
      <w:r w:rsidR="005330BC">
        <w:rPr>
          <w:sz w:val="24"/>
        </w:rPr>
        <w:t xml:space="preserve">and </w:t>
      </w:r>
      <w:r w:rsidR="00575CA7">
        <w:rPr>
          <w:sz w:val="24"/>
        </w:rPr>
        <w:fldChar w:fldCharType="begin"/>
      </w:r>
      <w:r w:rsidR="005330BC">
        <w:rPr>
          <w:sz w:val="24"/>
        </w:rPr>
        <w:instrText xml:space="preserve"> REF _Ref325447933 \h </w:instrText>
      </w:r>
      <w:r w:rsidR="00575CA7">
        <w:rPr>
          <w:sz w:val="24"/>
        </w:rPr>
      </w:r>
      <w:r w:rsidR="00575CA7">
        <w:rPr>
          <w:sz w:val="24"/>
        </w:rPr>
        <w:fldChar w:fldCharType="separate"/>
      </w:r>
      <w:r w:rsidR="003648B8">
        <w:t xml:space="preserve">Figure </w:t>
      </w:r>
      <w:r w:rsidR="003648B8">
        <w:rPr>
          <w:noProof/>
        </w:rPr>
        <w:t>17</w:t>
      </w:r>
      <w:r w:rsidR="00575CA7">
        <w:rPr>
          <w:sz w:val="24"/>
        </w:rPr>
        <w:fldChar w:fldCharType="end"/>
      </w:r>
      <w:r w:rsidR="005330BC">
        <w:rPr>
          <w:sz w:val="24"/>
        </w:rPr>
        <w:t xml:space="preserve">. </w:t>
      </w:r>
      <w:r w:rsidRPr="00CF785D">
        <w:rPr>
          <w:sz w:val="24"/>
        </w:rPr>
        <w:t xml:space="preserve">The reduced frequency of young forests is generally attributed to effective fire suppression (Murphy 1985), although climate </w:t>
      </w:r>
      <w:r w:rsidRPr="00CF785D">
        <w:rPr>
          <w:sz w:val="24"/>
        </w:rPr>
        <w:lastRenderedPageBreak/>
        <w:t>change has been implicated (Johnson and Larsen 1991). For northeastern Alberta, approximately 20% of the merchantable landbase is classified as older than the 70 year rotation currently used for harvest of trembling aspen (Alberta Forest Service 1985). The age structure of this forest biome is therefore projected to change under conventional forest harvest practices.</w:t>
      </w:r>
    </w:p>
    <w:p w:rsidR="00B24855" w:rsidRPr="00CF785D" w:rsidRDefault="00B24855" w:rsidP="00AC65AE">
      <w:pPr>
        <w:pStyle w:val="BodyText"/>
        <w:rPr>
          <w:sz w:val="28"/>
        </w:rPr>
        <w:sectPr w:rsidR="00B24855" w:rsidRPr="00CF785D" w:rsidSect="007A2AE9">
          <w:footerReference w:type="default" r:id="rId13"/>
          <w:pgSz w:w="12240" w:h="15840" w:code="1"/>
          <w:pgMar w:top="1440" w:right="1440" w:bottom="1440" w:left="1797" w:header="720" w:footer="624" w:gutter="0"/>
          <w:cols w:space="720"/>
          <w:docGrid w:linePitch="326"/>
        </w:sectPr>
      </w:pPr>
      <w:r>
        <w:t>For the purposes of this project, the fire regime was simulated as a random draw from a negative exponential distribution with a mean fire return interval of 80 years.</w:t>
      </w:r>
    </w:p>
    <w:p w:rsidR="00AC65AE" w:rsidRDefault="00AC65AE" w:rsidP="004014B2">
      <w:pPr>
        <w:pStyle w:val="graphic"/>
        <w:keepNext/>
        <w:jc w:val="left"/>
      </w:pPr>
    </w:p>
    <w:p w:rsidR="00AC65AE" w:rsidRDefault="00AC65AE" w:rsidP="004014B2">
      <w:pPr>
        <w:pStyle w:val="graphic"/>
        <w:keepNext/>
        <w:jc w:val="left"/>
      </w:pPr>
    </w:p>
    <w:p w:rsidR="00AC65AE" w:rsidRDefault="00AC65AE" w:rsidP="004014B2">
      <w:pPr>
        <w:pStyle w:val="graphic"/>
        <w:keepNext/>
        <w:jc w:val="left"/>
      </w:pPr>
    </w:p>
    <w:p w:rsidR="00AC65AE" w:rsidRDefault="00AC65AE" w:rsidP="004014B2">
      <w:pPr>
        <w:pStyle w:val="graphic"/>
        <w:keepNext/>
        <w:jc w:val="left"/>
      </w:pPr>
    </w:p>
    <w:p w:rsidR="0053362A" w:rsidRDefault="0053362A" w:rsidP="0053362A">
      <w:pPr>
        <w:pStyle w:val="TableCaption"/>
        <w:numPr>
          <w:ilvl w:val="12"/>
          <w:numId w:val="0"/>
        </w:numPr>
      </w:pPr>
      <w:bookmarkStart w:id="17" w:name="_Ref325826494"/>
      <w:bookmarkStart w:id="18" w:name="_Toc338703765"/>
      <w:proofErr w:type="gramStart"/>
      <w:r>
        <w:t xml:space="preserve">Table </w:t>
      </w:r>
      <w:r w:rsidR="00575CA7">
        <w:fldChar w:fldCharType="begin"/>
      </w:r>
      <w:r w:rsidR="00D75024">
        <w:instrText xml:space="preserve"> SEQ Table \* ARABIC </w:instrText>
      </w:r>
      <w:r w:rsidR="00575CA7">
        <w:fldChar w:fldCharType="separate"/>
      </w:r>
      <w:r w:rsidR="002B4C72">
        <w:rPr>
          <w:noProof/>
        </w:rPr>
        <w:t>1</w:t>
      </w:r>
      <w:r w:rsidR="00575CA7">
        <w:fldChar w:fldCharType="end"/>
      </w:r>
      <w:bookmarkEnd w:id="17"/>
      <w:r>
        <w:t>.</w:t>
      </w:r>
      <w:proofErr w:type="gramEnd"/>
      <w:r>
        <w:t xml:space="preserve"> </w:t>
      </w:r>
      <w:proofErr w:type="gramStart"/>
      <w:r>
        <w:t>Long-term temperature at the Lac La Biche station (Atmospheric Environment 1981).</w:t>
      </w:r>
      <w:bookmarkEnd w:id="18"/>
      <w:proofErr w:type="gramEnd"/>
    </w:p>
    <w:tbl>
      <w:tblPr>
        <w:tblStyle w:val="TableGrid"/>
        <w:tblW w:w="9847" w:type="dxa"/>
        <w:tblLayout w:type="fixed"/>
        <w:tblLook w:val="04A0"/>
      </w:tblPr>
      <w:tblGrid>
        <w:gridCol w:w="883"/>
        <w:gridCol w:w="857"/>
        <w:gridCol w:w="737"/>
        <w:gridCol w:w="737"/>
        <w:gridCol w:w="737"/>
        <w:gridCol w:w="737"/>
        <w:gridCol w:w="737"/>
        <w:gridCol w:w="236"/>
        <w:gridCol w:w="968"/>
        <w:gridCol w:w="940"/>
        <w:gridCol w:w="756"/>
        <w:gridCol w:w="826"/>
        <w:gridCol w:w="696"/>
      </w:tblGrid>
      <w:tr w:rsidR="0053362A" w:rsidTr="0053362A">
        <w:trPr>
          <w:trHeight w:val="283"/>
        </w:trPr>
        <w:tc>
          <w:tcPr>
            <w:tcW w:w="883" w:type="dxa"/>
          </w:tcPr>
          <w:p w:rsidR="0053362A" w:rsidRPr="00B2639F" w:rsidRDefault="0053362A" w:rsidP="0053362A">
            <w:pPr>
              <w:pStyle w:val="graphic"/>
              <w:jc w:val="both"/>
              <w:rPr>
                <w:sz w:val="16"/>
              </w:rPr>
            </w:pPr>
            <w:r w:rsidRPr="00B2639F">
              <w:rPr>
                <w:sz w:val="16"/>
              </w:rPr>
              <w:t>Extreme</w:t>
            </w:r>
          </w:p>
        </w:tc>
        <w:tc>
          <w:tcPr>
            <w:tcW w:w="857" w:type="dxa"/>
          </w:tcPr>
          <w:p w:rsidR="0053362A" w:rsidRPr="00B2639F" w:rsidRDefault="0053362A" w:rsidP="0053362A">
            <w:pPr>
              <w:pStyle w:val="graphic"/>
              <w:jc w:val="both"/>
              <w:rPr>
                <w:sz w:val="16"/>
              </w:rPr>
            </w:pPr>
            <w:r w:rsidRPr="00B2639F">
              <w:rPr>
                <w:sz w:val="16"/>
              </w:rPr>
              <w:t>Extreme</w:t>
            </w:r>
          </w:p>
        </w:tc>
        <w:tc>
          <w:tcPr>
            <w:tcW w:w="3685" w:type="dxa"/>
            <w:gridSpan w:val="5"/>
          </w:tcPr>
          <w:p w:rsidR="0053362A" w:rsidRPr="00B2639F" w:rsidRDefault="0053362A" w:rsidP="0053362A">
            <w:pPr>
              <w:pStyle w:val="graphic"/>
              <w:rPr>
                <w:sz w:val="16"/>
              </w:rPr>
            </w:pPr>
            <w:r>
              <w:rPr>
                <w:sz w:val="16"/>
              </w:rPr>
              <w:t>Mean Maximums</w:t>
            </w:r>
          </w:p>
        </w:tc>
        <w:tc>
          <w:tcPr>
            <w:tcW w:w="236" w:type="dxa"/>
          </w:tcPr>
          <w:p w:rsidR="0053362A" w:rsidRPr="00B2639F" w:rsidRDefault="0053362A" w:rsidP="0053362A">
            <w:pPr>
              <w:pStyle w:val="graphic"/>
              <w:rPr>
                <w:sz w:val="16"/>
              </w:rPr>
            </w:pPr>
          </w:p>
        </w:tc>
        <w:tc>
          <w:tcPr>
            <w:tcW w:w="4186" w:type="dxa"/>
            <w:gridSpan w:val="5"/>
          </w:tcPr>
          <w:p w:rsidR="0053362A" w:rsidRPr="00B2639F" w:rsidRDefault="0053362A" w:rsidP="0053362A">
            <w:pPr>
              <w:pStyle w:val="graphic"/>
              <w:rPr>
                <w:sz w:val="16"/>
              </w:rPr>
            </w:pPr>
            <w:r>
              <w:rPr>
                <w:sz w:val="16"/>
              </w:rPr>
              <w:t>Mean Minimums</w:t>
            </w:r>
          </w:p>
        </w:tc>
      </w:tr>
      <w:tr w:rsidR="0053362A" w:rsidTr="0053362A">
        <w:trPr>
          <w:trHeight w:val="283"/>
        </w:trPr>
        <w:tc>
          <w:tcPr>
            <w:tcW w:w="883" w:type="dxa"/>
          </w:tcPr>
          <w:p w:rsidR="0053362A" w:rsidRPr="00B2639F" w:rsidRDefault="0053362A" w:rsidP="0053362A">
            <w:pPr>
              <w:pStyle w:val="graphic"/>
              <w:jc w:val="both"/>
              <w:rPr>
                <w:sz w:val="16"/>
              </w:rPr>
            </w:pPr>
            <w:r w:rsidRPr="00B2639F">
              <w:rPr>
                <w:sz w:val="16"/>
              </w:rPr>
              <w:t>Maximum</w:t>
            </w:r>
          </w:p>
        </w:tc>
        <w:tc>
          <w:tcPr>
            <w:tcW w:w="857" w:type="dxa"/>
          </w:tcPr>
          <w:p w:rsidR="0053362A" w:rsidRPr="00B2639F" w:rsidRDefault="0053362A" w:rsidP="0053362A">
            <w:pPr>
              <w:pStyle w:val="graphic"/>
              <w:jc w:val="both"/>
              <w:rPr>
                <w:sz w:val="16"/>
              </w:rPr>
            </w:pPr>
            <w:r w:rsidRPr="00B2639F">
              <w:rPr>
                <w:sz w:val="16"/>
              </w:rPr>
              <w:t>Minimum</w:t>
            </w:r>
          </w:p>
        </w:tc>
        <w:tc>
          <w:tcPr>
            <w:tcW w:w="737" w:type="dxa"/>
          </w:tcPr>
          <w:p w:rsidR="0053362A" w:rsidRPr="00B2639F" w:rsidRDefault="0053362A" w:rsidP="0053362A">
            <w:pPr>
              <w:pStyle w:val="graphic"/>
              <w:jc w:val="both"/>
              <w:rPr>
                <w:sz w:val="16"/>
              </w:rPr>
            </w:pPr>
            <w:r w:rsidRPr="00B2639F">
              <w:rPr>
                <w:sz w:val="16"/>
              </w:rPr>
              <w:t>May</w:t>
            </w:r>
          </w:p>
        </w:tc>
        <w:tc>
          <w:tcPr>
            <w:tcW w:w="737" w:type="dxa"/>
          </w:tcPr>
          <w:p w:rsidR="0053362A" w:rsidRPr="00B2639F" w:rsidRDefault="0053362A" w:rsidP="0053362A">
            <w:pPr>
              <w:pStyle w:val="graphic"/>
              <w:jc w:val="both"/>
              <w:rPr>
                <w:sz w:val="16"/>
              </w:rPr>
            </w:pPr>
            <w:r w:rsidRPr="00B2639F">
              <w:rPr>
                <w:sz w:val="16"/>
              </w:rPr>
              <w:t>June</w:t>
            </w:r>
          </w:p>
        </w:tc>
        <w:tc>
          <w:tcPr>
            <w:tcW w:w="737" w:type="dxa"/>
          </w:tcPr>
          <w:p w:rsidR="0053362A" w:rsidRPr="00B2639F" w:rsidRDefault="0053362A" w:rsidP="0053362A">
            <w:pPr>
              <w:pStyle w:val="graphic"/>
              <w:jc w:val="both"/>
              <w:rPr>
                <w:sz w:val="16"/>
              </w:rPr>
            </w:pPr>
            <w:r w:rsidRPr="00B2639F">
              <w:rPr>
                <w:sz w:val="16"/>
              </w:rPr>
              <w:t>July</w:t>
            </w:r>
          </w:p>
        </w:tc>
        <w:tc>
          <w:tcPr>
            <w:tcW w:w="737" w:type="dxa"/>
          </w:tcPr>
          <w:p w:rsidR="0053362A" w:rsidRPr="00B2639F" w:rsidRDefault="0053362A" w:rsidP="0053362A">
            <w:pPr>
              <w:pStyle w:val="graphic"/>
              <w:jc w:val="both"/>
              <w:rPr>
                <w:sz w:val="16"/>
              </w:rPr>
            </w:pPr>
            <w:r w:rsidRPr="00B2639F">
              <w:rPr>
                <w:sz w:val="16"/>
              </w:rPr>
              <w:t>August</w:t>
            </w:r>
          </w:p>
        </w:tc>
        <w:tc>
          <w:tcPr>
            <w:tcW w:w="737" w:type="dxa"/>
          </w:tcPr>
          <w:p w:rsidR="0053362A" w:rsidRPr="00B2639F" w:rsidRDefault="0053362A" w:rsidP="0053362A">
            <w:pPr>
              <w:pStyle w:val="graphic"/>
              <w:jc w:val="both"/>
              <w:rPr>
                <w:sz w:val="16"/>
              </w:rPr>
            </w:pPr>
            <w:r>
              <w:rPr>
                <w:sz w:val="16"/>
              </w:rPr>
              <w:t>Sept</w:t>
            </w:r>
          </w:p>
        </w:tc>
        <w:tc>
          <w:tcPr>
            <w:tcW w:w="236" w:type="dxa"/>
          </w:tcPr>
          <w:p w:rsidR="0053362A" w:rsidRPr="00B2639F" w:rsidRDefault="0053362A" w:rsidP="0053362A">
            <w:pPr>
              <w:pStyle w:val="graphic"/>
              <w:jc w:val="both"/>
              <w:rPr>
                <w:sz w:val="16"/>
              </w:rPr>
            </w:pPr>
          </w:p>
        </w:tc>
        <w:tc>
          <w:tcPr>
            <w:tcW w:w="968" w:type="dxa"/>
          </w:tcPr>
          <w:p w:rsidR="0053362A" w:rsidRPr="00B2639F" w:rsidRDefault="0053362A" w:rsidP="0053362A">
            <w:pPr>
              <w:pStyle w:val="graphic"/>
              <w:jc w:val="both"/>
              <w:rPr>
                <w:sz w:val="16"/>
              </w:rPr>
            </w:pPr>
            <w:r>
              <w:rPr>
                <w:sz w:val="16"/>
              </w:rPr>
              <w:t>Nov</w:t>
            </w:r>
          </w:p>
        </w:tc>
        <w:tc>
          <w:tcPr>
            <w:tcW w:w="940" w:type="dxa"/>
          </w:tcPr>
          <w:p w:rsidR="0053362A" w:rsidRPr="00B2639F" w:rsidRDefault="0053362A" w:rsidP="0053362A">
            <w:pPr>
              <w:pStyle w:val="graphic"/>
              <w:jc w:val="both"/>
              <w:rPr>
                <w:sz w:val="16"/>
              </w:rPr>
            </w:pPr>
            <w:r>
              <w:rPr>
                <w:sz w:val="16"/>
              </w:rPr>
              <w:t>Dec</w:t>
            </w:r>
          </w:p>
        </w:tc>
        <w:tc>
          <w:tcPr>
            <w:tcW w:w="756" w:type="dxa"/>
          </w:tcPr>
          <w:p w:rsidR="0053362A" w:rsidRPr="00B2639F" w:rsidRDefault="0053362A" w:rsidP="0053362A">
            <w:pPr>
              <w:pStyle w:val="graphic"/>
              <w:jc w:val="both"/>
              <w:rPr>
                <w:sz w:val="16"/>
              </w:rPr>
            </w:pPr>
            <w:r>
              <w:rPr>
                <w:sz w:val="16"/>
              </w:rPr>
              <w:t>Jan</w:t>
            </w:r>
          </w:p>
        </w:tc>
        <w:tc>
          <w:tcPr>
            <w:tcW w:w="826" w:type="dxa"/>
          </w:tcPr>
          <w:p w:rsidR="0053362A" w:rsidRPr="00B2639F" w:rsidRDefault="0053362A" w:rsidP="0053362A">
            <w:pPr>
              <w:pStyle w:val="graphic"/>
              <w:jc w:val="both"/>
              <w:rPr>
                <w:sz w:val="16"/>
              </w:rPr>
            </w:pPr>
            <w:r>
              <w:rPr>
                <w:sz w:val="16"/>
              </w:rPr>
              <w:t>Feb</w:t>
            </w:r>
          </w:p>
        </w:tc>
        <w:tc>
          <w:tcPr>
            <w:tcW w:w="696" w:type="dxa"/>
          </w:tcPr>
          <w:p w:rsidR="0053362A" w:rsidRPr="00B2639F" w:rsidRDefault="0053362A" w:rsidP="0053362A">
            <w:pPr>
              <w:pStyle w:val="graphic"/>
              <w:jc w:val="both"/>
              <w:rPr>
                <w:sz w:val="16"/>
              </w:rPr>
            </w:pPr>
            <w:r>
              <w:rPr>
                <w:sz w:val="16"/>
              </w:rPr>
              <w:t>March</w:t>
            </w:r>
          </w:p>
        </w:tc>
      </w:tr>
      <w:tr w:rsidR="0053362A" w:rsidTr="0053362A">
        <w:trPr>
          <w:trHeight w:val="283"/>
        </w:trPr>
        <w:tc>
          <w:tcPr>
            <w:tcW w:w="883" w:type="dxa"/>
          </w:tcPr>
          <w:p w:rsidR="0053362A" w:rsidRPr="00B2639F" w:rsidRDefault="0053362A" w:rsidP="0053362A">
            <w:pPr>
              <w:pStyle w:val="graphic"/>
              <w:rPr>
                <w:sz w:val="16"/>
              </w:rPr>
            </w:pPr>
            <w:r>
              <w:rPr>
                <w:sz w:val="16"/>
              </w:rPr>
              <w:t>34</w:t>
            </w:r>
          </w:p>
        </w:tc>
        <w:tc>
          <w:tcPr>
            <w:tcW w:w="857" w:type="dxa"/>
          </w:tcPr>
          <w:p w:rsidR="0053362A" w:rsidRPr="00B2639F" w:rsidRDefault="0053362A" w:rsidP="0053362A">
            <w:pPr>
              <w:pStyle w:val="graphic"/>
              <w:rPr>
                <w:sz w:val="16"/>
              </w:rPr>
            </w:pPr>
            <w:r>
              <w:rPr>
                <w:sz w:val="16"/>
              </w:rPr>
              <w:t>-48</w:t>
            </w:r>
          </w:p>
        </w:tc>
        <w:tc>
          <w:tcPr>
            <w:tcW w:w="737" w:type="dxa"/>
          </w:tcPr>
          <w:p w:rsidR="0053362A" w:rsidRPr="00B2639F" w:rsidRDefault="0053362A" w:rsidP="0053362A">
            <w:pPr>
              <w:pStyle w:val="graphic"/>
              <w:rPr>
                <w:sz w:val="16"/>
              </w:rPr>
            </w:pPr>
            <w:r>
              <w:rPr>
                <w:sz w:val="16"/>
              </w:rPr>
              <w:t>16</w:t>
            </w:r>
          </w:p>
        </w:tc>
        <w:tc>
          <w:tcPr>
            <w:tcW w:w="737" w:type="dxa"/>
          </w:tcPr>
          <w:p w:rsidR="0053362A" w:rsidRPr="00B2639F" w:rsidRDefault="0053362A" w:rsidP="0053362A">
            <w:pPr>
              <w:pStyle w:val="graphic"/>
              <w:rPr>
                <w:sz w:val="16"/>
              </w:rPr>
            </w:pPr>
            <w:r>
              <w:rPr>
                <w:sz w:val="16"/>
              </w:rPr>
              <w:t>20</w:t>
            </w:r>
          </w:p>
        </w:tc>
        <w:tc>
          <w:tcPr>
            <w:tcW w:w="737" w:type="dxa"/>
          </w:tcPr>
          <w:p w:rsidR="0053362A" w:rsidRPr="00B2639F" w:rsidRDefault="0053362A" w:rsidP="0053362A">
            <w:pPr>
              <w:pStyle w:val="graphic"/>
              <w:rPr>
                <w:sz w:val="16"/>
              </w:rPr>
            </w:pPr>
            <w:r>
              <w:rPr>
                <w:sz w:val="16"/>
              </w:rPr>
              <w:t>22</w:t>
            </w:r>
          </w:p>
        </w:tc>
        <w:tc>
          <w:tcPr>
            <w:tcW w:w="737" w:type="dxa"/>
          </w:tcPr>
          <w:p w:rsidR="0053362A" w:rsidRPr="00B2639F" w:rsidRDefault="0053362A" w:rsidP="0053362A">
            <w:pPr>
              <w:pStyle w:val="graphic"/>
              <w:rPr>
                <w:sz w:val="16"/>
              </w:rPr>
            </w:pPr>
            <w:r>
              <w:rPr>
                <w:sz w:val="16"/>
              </w:rPr>
              <w:t>21</w:t>
            </w:r>
          </w:p>
        </w:tc>
        <w:tc>
          <w:tcPr>
            <w:tcW w:w="737" w:type="dxa"/>
          </w:tcPr>
          <w:p w:rsidR="0053362A" w:rsidRPr="00B2639F" w:rsidRDefault="0053362A" w:rsidP="0053362A">
            <w:pPr>
              <w:pStyle w:val="graphic"/>
              <w:rPr>
                <w:sz w:val="16"/>
              </w:rPr>
            </w:pPr>
            <w:r>
              <w:rPr>
                <w:sz w:val="16"/>
              </w:rPr>
              <w:t>15</w:t>
            </w:r>
          </w:p>
        </w:tc>
        <w:tc>
          <w:tcPr>
            <w:tcW w:w="236" w:type="dxa"/>
          </w:tcPr>
          <w:p w:rsidR="0053362A" w:rsidRPr="00B2639F" w:rsidRDefault="0053362A" w:rsidP="0053362A">
            <w:pPr>
              <w:pStyle w:val="graphic"/>
              <w:rPr>
                <w:sz w:val="16"/>
              </w:rPr>
            </w:pPr>
          </w:p>
        </w:tc>
        <w:tc>
          <w:tcPr>
            <w:tcW w:w="968" w:type="dxa"/>
          </w:tcPr>
          <w:p w:rsidR="0053362A" w:rsidRPr="00B2639F" w:rsidRDefault="0053362A" w:rsidP="0053362A">
            <w:pPr>
              <w:pStyle w:val="graphic"/>
              <w:rPr>
                <w:sz w:val="16"/>
              </w:rPr>
            </w:pPr>
            <w:r>
              <w:rPr>
                <w:sz w:val="16"/>
              </w:rPr>
              <w:t>-11</w:t>
            </w:r>
          </w:p>
        </w:tc>
        <w:tc>
          <w:tcPr>
            <w:tcW w:w="940" w:type="dxa"/>
          </w:tcPr>
          <w:p w:rsidR="0053362A" w:rsidRPr="00B2639F" w:rsidRDefault="0053362A" w:rsidP="0053362A">
            <w:pPr>
              <w:pStyle w:val="graphic"/>
              <w:rPr>
                <w:sz w:val="16"/>
              </w:rPr>
            </w:pPr>
            <w:r>
              <w:rPr>
                <w:sz w:val="16"/>
              </w:rPr>
              <w:t>-19</w:t>
            </w:r>
          </w:p>
        </w:tc>
        <w:tc>
          <w:tcPr>
            <w:tcW w:w="756" w:type="dxa"/>
          </w:tcPr>
          <w:p w:rsidR="0053362A" w:rsidRPr="00B2639F" w:rsidRDefault="0053362A" w:rsidP="0053362A">
            <w:pPr>
              <w:pStyle w:val="graphic"/>
              <w:rPr>
                <w:sz w:val="16"/>
              </w:rPr>
            </w:pPr>
            <w:r>
              <w:rPr>
                <w:sz w:val="16"/>
              </w:rPr>
              <w:t>-24</w:t>
            </w:r>
          </w:p>
        </w:tc>
        <w:tc>
          <w:tcPr>
            <w:tcW w:w="826" w:type="dxa"/>
          </w:tcPr>
          <w:p w:rsidR="0053362A" w:rsidRPr="00B2639F" w:rsidRDefault="0053362A" w:rsidP="0053362A">
            <w:pPr>
              <w:pStyle w:val="graphic"/>
              <w:rPr>
                <w:sz w:val="16"/>
              </w:rPr>
            </w:pPr>
            <w:r>
              <w:rPr>
                <w:sz w:val="16"/>
              </w:rPr>
              <w:t>-19</w:t>
            </w:r>
          </w:p>
        </w:tc>
        <w:tc>
          <w:tcPr>
            <w:tcW w:w="696" w:type="dxa"/>
          </w:tcPr>
          <w:p w:rsidR="0053362A" w:rsidRPr="00B2639F" w:rsidRDefault="0053362A" w:rsidP="0053362A">
            <w:pPr>
              <w:pStyle w:val="graphic"/>
              <w:rPr>
                <w:sz w:val="16"/>
              </w:rPr>
            </w:pPr>
            <w:r>
              <w:rPr>
                <w:sz w:val="16"/>
              </w:rPr>
              <w:t>-13</w:t>
            </w:r>
          </w:p>
        </w:tc>
      </w:tr>
    </w:tbl>
    <w:p w:rsidR="0053362A" w:rsidRDefault="0053362A" w:rsidP="0053362A">
      <w:pPr>
        <w:pStyle w:val="graphic"/>
        <w:jc w:val="both"/>
      </w:pPr>
    </w:p>
    <w:p w:rsidR="00AC65AE" w:rsidRDefault="00AC65AE" w:rsidP="004014B2">
      <w:pPr>
        <w:pStyle w:val="graphic"/>
        <w:keepNext/>
        <w:jc w:val="left"/>
      </w:pPr>
    </w:p>
    <w:p w:rsidR="0053362A" w:rsidRDefault="0053362A" w:rsidP="004014B2">
      <w:pPr>
        <w:pStyle w:val="graphic"/>
        <w:keepNext/>
        <w:jc w:val="left"/>
      </w:pPr>
    </w:p>
    <w:p w:rsidR="0053362A" w:rsidRDefault="0053362A" w:rsidP="004014B2">
      <w:pPr>
        <w:pStyle w:val="graphic"/>
        <w:keepNext/>
        <w:jc w:val="left"/>
      </w:pPr>
    </w:p>
    <w:p w:rsidR="0053362A" w:rsidRDefault="0053362A" w:rsidP="004014B2">
      <w:pPr>
        <w:pStyle w:val="graphic"/>
        <w:keepNext/>
        <w:jc w:val="left"/>
      </w:pPr>
    </w:p>
    <w:p w:rsidR="0053362A" w:rsidRDefault="0053362A" w:rsidP="004014B2">
      <w:pPr>
        <w:pStyle w:val="graphic"/>
        <w:keepNext/>
        <w:jc w:val="left"/>
      </w:pPr>
    </w:p>
    <w:p w:rsidR="0053362A" w:rsidRDefault="0053362A" w:rsidP="004014B2">
      <w:pPr>
        <w:pStyle w:val="graphic"/>
        <w:keepNext/>
        <w:jc w:val="left"/>
      </w:pPr>
    </w:p>
    <w:p w:rsidR="0053362A" w:rsidRDefault="0053362A" w:rsidP="004014B2">
      <w:pPr>
        <w:pStyle w:val="graphic"/>
        <w:keepNext/>
        <w:jc w:val="left"/>
      </w:pPr>
    </w:p>
    <w:p w:rsidR="00AC65AE" w:rsidRDefault="00AC65AE" w:rsidP="004014B2">
      <w:pPr>
        <w:pStyle w:val="graphic"/>
        <w:keepNext/>
        <w:jc w:val="left"/>
      </w:pPr>
    </w:p>
    <w:p w:rsidR="00154939" w:rsidRDefault="00DB172B" w:rsidP="004014B2">
      <w:pPr>
        <w:pStyle w:val="graphic"/>
        <w:keepNext/>
        <w:jc w:val="left"/>
      </w:pPr>
      <w:r>
        <w:rPr>
          <w:noProof/>
        </w:rPr>
        <w:drawing>
          <wp:inline distT="0" distB="0" distL="0" distR="0">
            <wp:extent cx="4753911" cy="3600000"/>
            <wp:effectExtent l="19050" t="19050" r="27639" b="1950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 cstate="print"/>
                    <a:srcRect/>
                    <a:stretch>
                      <a:fillRect/>
                    </a:stretch>
                  </pic:blipFill>
                  <pic:spPr bwMode="auto">
                    <a:xfrm>
                      <a:off x="0" y="0"/>
                      <a:ext cx="4753911"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154939" w:rsidRDefault="00154939" w:rsidP="00154939">
      <w:pPr>
        <w:pStyle w:val="FigureCaption"/>
      </w:pPr>
      <w:bookmarkStart w:id="19" w:name="_Ref325387405"/>
      <w:bookmarkStart w:id="20" w:name="_Toc338703783"/>
      <w:proofErr w:type="gramStart"/>
      <w:r>
        <w:t xml:space="preserve">Figure </w:t>
      </w:r>
      <w:r w:rsidR="00575CA7">
        <w:fldChar w:fldCharType="begin"/>
      </w:r>
      <w:r>
        <w:instrText xml:space="preserve"> SEQ Figure \* ARABIC </w:instrText>
      </w:r>
      <w:r w:rsidR="00575CA7">
        <w:fldChar w:fldCharType="separate"/>
      </w:r>
      <w:r w:rsidR="00A02D22">
        <w:rPr>
          <w:noProof/>
        </w:rPr>
        <w:t>3</w:t>
      </w:r>
      <w:r w:rsidR="00575CA7">
        <w:fldChar w:fldCharType="end"/>
      </w:r>
      <w:bookmarkEnd w:id="19"/>
      <w:r>
        <w:t>.</w:t>
      </w:r>
      <w:proofErr w:type="gramEnd"/>
      <w:r>
        <w:t xml:space="preserve"> </w:t>
      </w:r>
      <w:r w:rsidR="00AC0364">
        <w:t>Location</w:t>
      </w:r>
      <w:r>
        <w:t xml:space="preserve"> of the traditional lands of the CLFN </w:t>
      </w:r>
      <w:r w:rsidR="00FB72DE">
        <w:t xml:space="preserve">(green) </w:t>
      </w:r>
      <w:r>
        <w:t xml:space="preserve">within the boreal mixedwood forest </w:t>
      </w:r>
      <w:r w:rsidR="00FB72DE">
        <w:t xml:space="preserve">(grey) </w:t>
      </w:r>
      <w:r>
        <w:t>in western Canada (modified from Rowe 1972).</w:t>
      </w:r>
      <w:bookmarkEnd w:id="20"/>
    </w:p>
    <w:p w:rsidR="001A780C" w:rsidRDefault="001A780C" w:rsidP="001A780C">
      <w:pPr>
        <w:pStyle w:val="graphic"/>
      </w:pPr>
    </w:p>
    <w:p w:rsidR="00220C12" w:rsidRDefault="00673E0B" w:rsidP="00220C12">
      <w:pPr>
        <w:pStyle w:val="graphic"/>
        <w:keepNext/>
        <w:jc w:val="both"/>
      </w:pPr>
      <w:r>
        <w:rPr>
          <w:noProof/>
        </w:rPr>
        <w:drawing>
          <wp:inline distT="0" distB="0" distL="0" distR="0">
            <wp:extent cx="4779926" cy="3600000"/>
            <wp:effectExtent l="19050" t="19050" r="20674" b="19500"/>
            <wp:docPr id="9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cstate="print"/>
                    <a:srcRect/>
                    <a:stretch>
                      <a:fillRect/>
                    </a:stretch>
                  </pic:blipFill>
                  <pic:spPr bwMode="auto">
                    <a:xfrm>
                      <a:off x="0" y="0"/>
                      <a:ext cx="4779926"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030E16" w:rsidRPr="00AC0364" w:rsidRDefault="00220C12" w:rsidP="00220C12">
      <w:pPr>
        <w:pStyle w:val="Caption"/>
        <w:jc w:val="both"/>
        <w:rPr>
          <w:b w:val="0"/>
        </w:rPr>
      </w:pPr>
      <w:bookmarkStart w:id="21" w:name="_Ref325387348"/>
      <w:bookmarkStart w:id="22" w:name="_Toc338703784"/>
      <w:proofErr w:type="gramStart"/>
      <w:r>
        <w:t xml:space="preserve">Figure </w:t>
      </w:r>
      <w:r w:rsidR="00575CA7">
        <w:fldChar w:fldCharType="begin"/>
      </w:r>
      <w:r>
        <w:instrText xml:space="preserve"> SEQ Figure \* ARABIC </w:instrText>
      </w:r>
      <w:r w:rsidR="00575CA7">
        <w:fldChar w:fldCharType="separate"/>
      </w:r>
      <w:r w:rsidR="00A02D22">
        <w:rPr>
          <w:noProof/>
        </w:rPr>
        <w:t>4</w:t>
      </w:r>
      <w:r w:rsidR="00575CA7">
        <w:fldChar w:fldCharType="end"/>
      </w:r>
      <w:bookmarkEnd w:id="21"/>
      <w:r w:rsidR="00AC0364">
        <w:t>.</w:t>
      </w:r>
      <w:proofErr w:type="gramEnd"/>
      <w:r>
        <w:t xml:space="preserve">  </w:t>
      </w:r>
      <w:r w:rsidR="00AC0364">
        <w:rPr>
          <w:b w:val="0"/>
        </w:rPr>
        <w:t xml:space="preserve">Examples of general landform, </w:t>
      </w:r>
      <w:r w:rsidR="00154939" w:rsidRPr="00AC0364">
        <w:rPr>
          <w:b w:val="0"/>
        </w:rPr>
        <w:t>physiognomy</w:t>
      </w:r>
      <w:r w:rsidR="00AC0364">
        <w:rPr>
          <w:b w:val="0"/>
        </w:rPr>
        <w:t>, and plant community structure</w:t>
      </w:r>
      <w:r w:rsidR="00154939" w:rsidRPr="00AC0364">
        <w:rPr>
          <w:b w:val="0"/>
        </w:rPr>
        <w:t xml:space="preserve"> within the study area.</w:t>
      </w:r>
      <w:bookmarkEnd w:id="22"/>
    </w:p>
    <w:p w:rsidR="00DB172B" w:rsidRDefault="00DB172B" w:rsidP="00030E16">
      <w:pPr>
        <w:pStyle w:val="graphic"/>
        <w:jc w:val="both"/>
      </w:pPr>
    </w:p>
    <w:p w:rsidR="00AC65AE" w:rsidRDefault="00AC65AE" w:rsidP="004014B2">
      <w:pPr>
        <w:pStyle w:val="graphic"/>
        <w:keepNext/>
        <w:jc w:val="both"/>
      </w:pPr>
    </w:p>
    <w:p w:rsidR="004014B2" w:rsidRDefault="00DB172B" w:rsidP="004014B2">
      <w:pPr>
        <w:pStyle w:val="graphic"/>
        <w:keepNext/>
        <w:jc w:val="both"/>
      </w:pPr>
      <w:r>
        <w:rPr>
          <w:noProof/>
        </w:rPr>
        <w:drawing>
          <wp:inline distT="0" distB="0" distL="0" distR="0">
            <wp:extent cx="4729048" cy="3600000"/>
            <wp:effectExtent l="19050" t="19050" r="14402" b="19500"/>
            <wp:docPr id="232"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 cstate="print"/>
                    <a:srcRect/>
                    <a:stretch>
                      <a:fillRect/>
                    </a:stretch>
                  </pic:blipFill>
                  <pic:spPr bwMode="auto">
                    <a:xfrm>
                      <a:off x="0" y="0"/>
                      <a:ext cx="4729048"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DB172B" w:rsidRDefault="004014B2" w:rsidP="004014B2">
      <w:pPr>
        <w:pStyle w:val="Caption"/>
        <w:jc w:val="both"/>
      </w:pPr>
      <w:bookmarkStart w:id="23" w:name="_Ref325446883"/>
      <w:bookmarkStart w:id="24" w:name="_Toc338703785"/>
      <w:proofErr w:type="gramStart"/>
      <w:r>
        <w:t xml:space="preserve">Figure </w:t>
      </w:r>
      <w:fldSimple w:instr=" SEQ Figure \* ARABIC ">
        <w:r w:rsidR="00A02D22">
          <w:rPr>
            <w:noProof/>
          </w:rPr>
          <w:t>5</w:t>
        </w:r>
      </w:fldSimple>
      <w:bookmarkEnd w:id="23"/>
      <w:r>
        <w:t xml:space="preserve"> Average </w:t>
      </w:r>
      <w:r w:rsidR="009B1D49">
        <w:t>precipitation and</w:t>
      </w:r>
      <w:r>
        <w:t xml:space="preserve"> temperature in </w:t>
      </w:r>
      <w:r w:rsidR="00C619FF">
        <w:t>CLFN SA</w:t>
      </w:r>
      <w:r>
        <w:t xml:space="preserve"> in relation to provincial patterns.</w:t>
      </w:r>
      <w:proofErr w:type="gramEnd"/>
      <w:r w:rsidR="00C3555D">
        <w:t xml:space="preserve"> Source: Alberta Environment (online)</w:t>
      </w:r>
      <w:r w:rsidR="00EF6CE0">
        <w:t>.</w:t>
      </w:r>
      <w:bookmarkEnd w:id="24"/>
    </w:p>
    <w:p w:rsidR="004014B2" w:rsidRDefault="004014B2" w:rsidP="004014B2">
      <w:pPr>
        <w:rPr>
          <w:lang w:eastAsia="en-CA"/>
        </w:rPr>
      </w:pPr>
    </w:p>
    <w:p w:rsidR="004014B2" w:rsidRDefault="003B2982" w:rsidP="004014B2">
      <w:pPr>
        <w:keepNext/>
      </w:pPr>
      <w:r>
        <w:rPr>
          <w:noProof/>
          <w:lang w:val="en-US"/>
        </w:rPr>
        <w:drawing>
          <wp:inline distT="0" distB="0" distL="0" distR="0">
            <wp:extent cx="4754315" cy="3600000"/>
            <wp:effectExtent l="19050" t="19050" r="27235" b="19500"/>
            <wp:docPr id="7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4754315"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4014B2" w:rsidRDefault="004014B2" w:rsidP="004014B2">
      <w:pPr>
        <w:pStyle w:val="Caption"/>
      </w:pPr>
      <w:bookmarkStart w:id="25" w:name="_Ref325447567"/>
      <w:bookmarkStart w:id="26" w:name="_Toc338703786"/>
      <w:proofErr w:type="gramStart"/>
      <w:r>
        <w:t xml:space="preserve">Figure </w:t>
      </w:r>
      <w:r w:rsidR="00575CA7">
        <w:fldChar w:fldCharType="begin"/>
      </w:r>
      <w:r w:rsidR="007976E9">
        <w:instrText xml:space="preserve"> SEQ Figure \* ARABIC </w:instrText>
      </w:r>
      <w:r w:rsidR="00575CA7">
        <w:fldChar w:fldCharType="separate"/>
      </w:r>
      <w:r w:rsidR="00A02D22">
        <w:rPr>
          <w:noProof/>
        </w:rPr>
        <w:t>6</w:t>
      </w:r>
      <w:r w:rsidR="00575CA7">
        <w:fldChar w:fldCharType="end"/>
      </w:r>
      <w:bookmarkEnd w:id="25"/>
      <w:r>
        <w:t>.</w:t>
      </w:r>
      <w:proofErr w:type="gramEnd"/>
      <w:r>
        <w:t xml:space="preserve"> </w:t>
      </w:r>
      <w:proofErr w:type="gramStart"/>
      <w:r w:rsidR="009B1D49">
        <w:t xml:space="preserve">Major Lakes of CLFN </w:t>
      </w:r>
      <w:r w:rsidR="00AB77F5">
        <w:t xml:space="preserve">SA </w:t>
      </w:r>
      <w:r w:rsidR="009B1D49">
        <w:t>in relation to provincial pattern.</w:t>
      </w:r>
      <w:proofErr w:type="gramEnd"/>
      <w:r w:rsidR="009B1D49">
        <w:t xml:space="preserve"> Source: Alberta Environment</w:t>
      </w:r>
      <w:r w:rsidR="00C3555D">
        <w:t xml:space="preserve"> (online)</w:t>
      </w:r>
      <w:r w:rsidR="009B1D49">
        <w:t>.</w:t>
      </w:r>
      <w:bookmarkEnd w:id="26"/>
    </w:p>
    <w:p w:rsidR="0053362A" w:rsidRPr="0053362A" w:rsidRDefault="0053362A" w:rsidP="0053362A">
      <w:pPr>
        <w:rPr>
          <w:lang w:eastAsia="en-CA"/>
        </w:rPr>
      </w:pPr>
    </w:p>
    <w:p w:rsidR="009D458C" w:rsidRDefault="003B2982" w:rsidP="009D458C">
      <w:pPr>
        <w:keepNext/>
      </w:pPr>
      <w:r>
        <w:rPr>
          <w:noProof/>
          <w:lang w:val="en-US"/>
        </w:rPr>
        <w:drawing>
          <wp:inline distT="0" distB="0" distL="0" distR="0">
            <wp:extent cx="4754315" cy="3600000"/>
            <wp:effectExtent l="19050" t="19050" r="27235" b="19500"/>
            <wp:docPr id="7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4754315" cy="3600000"/>
                    </a:xfrm>
                    <a:prstGeom prst="rect">
                      <a:avLst/>
                    </a:prstGeom>
                    <a:noFill/>
                    <a:ln w="22225">
                      <a:solidFill>
                        <a:schemeClr val="tx1"/>
                      </a:solidFill>
                      <a:miter lim="800000"/>
                      <a:headEnd/>
                      <a:tailEnd/>
                    </a:ln>
                    <a:effectLst>
                      <a:innerShdw blurRad="114300">
                        <a:prstClr val="black"/>
                      </a:innerShdw>
                    </a:effectLst>
                  </pic:spPr>
                </pic:pic>
              </a:graphicData>
            </a:graphic>
          </wp:inline>
        </w:drawing>
      </w:r>
    </w:p>
    <w:p w:rsidR="009D458C" w:rsidRDefault="009D458C" w:rsidP="009D458C">
      <w:pPr>
        <w:pStyle w:val="Caption"/>
      </w:pPr>
      <w:bookmarkStart w:id="27" w:name="_Ref325447571"/>
      <w:bookmarkStart w:id="28" w:name="_Toc338703787"/>
      <w:proofErr w:type="gramStart"/>
      <w:r>
        <w:t xml:space="preserve">Figure </w:t>
      </w:r>
      <w:fldSimple w:instr=" SEQ Figure \* ARABIC ">
        <w:r w:rsidR="00A02D22">
          <w:rPr>
            <w:noProof/>
          </w:rPr>
          <w:t>7</w:t>
        </w:r>
      </w:fldSimple>
      <w:bookmarkEnd w:id="27"/>
      <w:r>
        <w:t>.</w:t>
      </w:r>
      <w:proofErr w:type="gramEnd"/>
      <w:r>
        <w:t xml:space="preserve"> </w:t>
      </w:r>
      <w:proofErr w:type="gramStart"/>
      <w:r>
        <w:t>Rivers of CLFN SA in relation to provincial pattern.</w:t>
      </w:r>
      <w:proofErr w:type="gramEnd"/>
      <w:r>
        <w:t xml:space="preserve"> Source: Alberta Environment (online).</w:t>
      </w:r>
      <w:bookmarkEnd w:id="28"/>
    </w:p>
    <w:p w:rsidR="009D458C" w:rsidRPr="009D458C" w:rsidRDefault="009D458C" w:rsidP="009D458C">
      <w:pPr>
        <w:rPr>
          <w:lang w:eastAsia="en-CA"/>
        </w:rPr>
      </w:pPr>
    </w:p>
    <w:p w:rsidR="00AC65AE" w:rsidRPr="00AC65AE" w:rsidRDefault="00AC65AE" w:rsidP="00AC65AE">
      <w:pPr>
        <w:rPr>
          <w:lang w:eastAsia="en-CA"/>
        </w:rPr>
      </w:pPr>
    </w:p>
    <w:p w:rsidR="00AC65AE" w:rsidRDefault="00AC65AE" w:rsidP="00AC65AE">
      <w:pPr>
        <w:keepNext/>
      </w:pPr>
      <w:r>
        <w:rPr>
          <w:noProof/>
          <w:lang w:val="en-US"/>
        </w:rPr>
        <w:drawing>
          <wp:inline distT="0" distB="0" distL="0" distR="0">
            <wp:extent cx="4785004" cy="3600000"/>
            <wp:effectExtent l="19050" t="19050" r="15596" b="19500"/>
            <wp:docPr id="9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cstate="print"/>
                    <a:srcRect/>
                    <a:stretch>
                      <a:fillRect/>
                    </a:stretch>
                  </pic:blipFill>
                  <pic:spPr bwMode="auto">
                    <a:xfrm>
                      <a:off x="0" y="0"/>
                      <a:ext cx="4785004"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AC65AE" w:rsidRDefault="00AC65AE" w:rsidP="00AC65AE">
      <w:pPr>
        <w:pStyle w:val="Caption"/>
      </w:pPr>
      <w:bookmarkStart w:id="29" w:name="_Ref326233587"/>
      <w:bookmarkStart w:id="30" w:name="_Toc338703788"/>
      <w:proofErr w:type="gramStart"/>
      <w:r>
        <w:t xml:space="preserve">Figure </w:t>
      </w:r>
      <w:fldSimple w:instr=" SEQ Figure \* ARABIC ">
        <w:r w:rsidR="00A02D22">
          <w:rPr>
            <w:noProof/>
          </w:rPr>
          <w:t>8</w:t>
        </w:r>
      </w:fldSimple>
      <w:bookmarkEnd w:id="29"/>
      <w:r>
        <w:t>.</w:t>
      </w:r>
      <w:proofErr w:type="gramEnd"/>
      <w:r>
        <w:t xml:space="preserve"> </w:t>
      </w:r>
      <w:proofErr w:type="gramStart"/>
      <w:r>
        <w:t>Some of the major lakes of the CLFN Traditional Territory.</w:t>
      </w:r>
      <w:proofErr w:type="gramEnd"/>
      <w:r>
        <w:t xml:space="preserve"> Source: Google Earth.</w:t>
      </w:r>
      <w:bookmarkEnd w:id="30"/>
    </w:p>
    <w:p w:rsidR="009D458C" w:rsidRPr="009D458C" w:rsidRDefault="009D458C" w:rsidP="009D458C">
      <w:pPr>
        <w:rPr>
          <w:lang w:eastAsia="en-CA"/>
        </w:rPr>
      </w:pPr>
    </w:p>
    <w:p w:rsidR="004014B2" w:rsidRDefault="004014B2" w:rsidP="004014B2">
      <w:pPr>
        <w:keepNext/>
      </w:pPr>
      <w:r>
        <w:rPr>
          <w:noProof/>
          <w:lang w:val="en-US"/>
        </w:rPr>
        <w:drawing>
          <wp:inline distT="0" distB="0" distL="0" distR="0">
            <wp:extent cx="4745399" cy="3600000"/>
            <wp:effectExtent l="19050" t="19050" r="17101" b="1950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0" cstate="print"/>
                    <a:srcRect/>
                    <a:stretch>
                      <a:fillRect/>
                    </a:stretch>
                  </pic:blipFill>
                  <pic:spPr bwMode="auto">
                    <a:xfrm>
                      <a:off x="0" y="0"/>
                      <a:ext cx="4745399"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4014B2" w:rsidRDefault="004014B2" w:rsidP="004014B2">
      <w:pPr>
        <w:pStyle w:val="Caption"/>
      </w:pPr>
      <w:bookmarkStart w:id="31" w:name="_Ref325447783"/>
      <w:bookmarkStart w:id="32" w:name="_Toc338703789"/>
      <w:proofErr w:type="gramStart"/>
      <w:r>
        <w:t xml:space="preserve">Figure </w:t>
      </w:r>
      <w:r w:rsidR="00575CA7">
        <w:fldChar w:fldCharType="begin"/>
      </w:r>
      <w:r>
        <w:instrText xml:space="preserve"> SEQ Figure \* ARABIC </w:instrText>
      </w:r>
      <w:r w:rsidR="00575CA7">
        <w:fldChar w:fldCharType="separate"/>
      </w:r>
      <w:r w:rsidR="00A02D22">
        <w:rPr>
          <w:noProof/>
        </w:rPr>
        <w:t>9</w:t>
      </w:r>
      <w:r w:rsidR="00575CA7">
        <w:fldChar w:fldCharType="end"/>
      </w:r>
      <w:bookmarkEnd w:id="31"/>
      <w:r>
        <w:t>.</w:t>
      </w:r>
      <w:proofErr w:type="gramEnd"/>
      <w:r>
        <w:t xml:space="preserve"> </w:t>
      </w:r>
      <w:proofErr w:type="gramStart"/>
      <w:r>
        <w:t>Characteristics of selected major lakes in the Cold Lake Region.</w:t>
      </w:r>
      <w:proofErr w:type="gramEnd"/>
      <w:r w:rsidR="00CD1EAD">
        <w:t xml:space="preserve"> Source: Atlas of Alberta Lakes.</w:t>
      </w:r>
      <w:bookmarkEnd w:id="32"/>
    </w:p>
    <w:p w:rsidR="009D458C" w:rsidRDefault="009D458C" w:rsidP="009D458C">
      <w:pPr>
        <w:pStyle w:val="graphic"/>
        <w:keepNext/>
        <w:jc w:val="both"/>
      </w:pPr>
      <w:r>
        <w:rPr>
          <w:noProof/>
        </w:rPr>
        <w:lastRenderedPageBreak/>
        <w:drawing>
          <wp:inline distT="0" distB="0" distL="0" distR="0">
            <wp:extent cx="4748360" cy="3600000"/>
            <wp:effectExtent l="19050" t="19050" r="14140" b="19500"/>
            <wp:docPr id="25"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1" cstate="print"/>
                    <a:srcRect/>
                    <a:stretch>
                      <a:fillRect/>
                    </a:stretch>
                  </pic:blipFill>
                  <pic:spPr bwMode="auto">
                    <a:xfrm>
                      <a:off x="0" y="0"/>
                      <a:ext cx="4748360"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9D458C" w:rsidRDefault="009D458C" w:rsidP="009D458C">
      <w:pPr>
        <w:pStyle w:val="Caption"/>
        <w:jc w:val="both"/>
        <w:rPr>
          <w:lang w:val="en-US"/>
        </w:rPr>
      </w:pPr>
      <w:bookmarkStart w:id="33" w:name="_Ref326233781"/>
      <w:bookmarkStart w:id="34" w:name="_Toc338703790"/>
      <w:proofErr w:type="gramStart"/>
      <w:r>
        <w:t xml:space="preserve">Figure </w:t>
      </w:r>
      <w:fldSimple w:instr=" SEQ Figure \* ARABIC ">
        <w:r w:rsidR="00A02D22">
          <w:rPr>
            <w:noProof/>
          </w:rPr>
          <w:t>10</w:t>
        </w:r>
      </w:fldSimple>
      <w:bookmarkEnd w:id="33"/>
      <w:r>
        <w:t>.</w:t>
      </w:r>
      <w:proofErr w:type="gramEnd"/>
      <w:r>
        <w:t xml:space="preserve"> Temporal changes in precipitation and flow of Beaver River into Cold Lake. </w:t>
      </w:r>
      <w:r w:rsidRPr="00CD1EAD">
        <w:rPr>
          <w:lang w:val="en-US"/>
        </w:rPr>
        <w:t>Source: Cold Lake – Beaver River Surface Water Quality State of the Basin Report, 2006</w:t>
      </w:r>
      <w:r>
        <w:rPr>
          <w:lang w:val="en-US"/>
        </w:rPr>
        <w:t>.</w:t>
      </w:r>
      <w:bookmarkEnd w:id="34"/>
    </w:p>
    <w:p w:rsidR="00F23D9F" w:rsidRPr="00F23D9F" w:rsidRDefault="00F23D9F" w:rsidP="00F23D9F">
      <w:pPr>
        <w:rPr>
          <w:lang w:val="en-US" w:eastAsia="en-CA"/>
        </w:rPr>
      </w:pPr>
    </w:p>
    <w:p w:rsidR="009D458C" w:rsidRDefault="009D458C" w:rsidP="009D458C">
      <w:pPr>
        <w:pStyle w:val="graphic"/>
        <w:keepNext/>
        <w:jc w:val="both"/>
      </w:pPr>
      <w:r>
        <w:rPr>
          <w:noProof/>
        </w:rPr>
        <w:drawing>
          <wp:inline distT="0" distB="0" distL="0" distR="0">
            <wp:extent cx="4750318" cy="3600000"/>
            <wp:effectExtent l="19050" t="19050" r="12182" b="19500"/>
            <wp:docPr id="15"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2" cstate="print"/>
                    <a:srcRect/>
                    <a:stretch>
                      <a:fillRect/>
                    </a:stretch>
                  </pic:blipFill>
                  <pic:spPr bwMode="auto">
                    <a:xfrm>
                      <a:off x="0" y="0"/>
                      <a:ext cx="4750318"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9D458C" w:rsidRDefault="009D458C" w:rsidP="009D458C">
      <w:pPr>
        <w:pStyle w:val="Caption"/>
        <w:jc w:val="both"/>
      </w:pPr>
      <w:bookmarkStart w:id="35" w:name="_Ref325446945"/>
      <w:bookmarkStart w:id="36" w:name="_Toc338703791"/>
      <w:proofErr w:type="gramStart"/>
      <w:r>
        <w:t xml:space="preserve">Figure </w:t>
      </w:r>
      <w:fldSimple w:instr=" SEQ Figure \* ARABIC ">
        <w:r w:rsidR="00A02D22">
          <w:rPr>
            <w:noProof/>
          </w:rPr>
          <w:t>11</w:t>
        </w:r>
      </w:fldSimple>
      <w:bookmarkEnd w:id="35"/>
      <w:r>
        <w:t>.</w:t>
      </w:r>
      <w:proofErr w:type="gramEnd"/>
      <w:r>
        <w:t xml:space="preserve"> </w:t>
      </w:r>
      <w:proofErr w:type="gramStart"/>
      <w:r>
        <w:t>Average annual precipitation, temperature at Cold Lake.</w:t>
      </w:r>
      <w:proofErr w:type="gramEnd"/>
      <w:r>
        <w:t xml:space="preserve"> </w:t>
      </w:r>
      <w:r>
        <w:rPr>
          <w:lang w:val="en-US"/>
        </w:rPr>
        <w:t>Source: Cold Lake–</w:t>
      </w:r>
      <w:r w:rsidRPr="00CD1EAD">
        <w:rPr>
          <w:lang w:val="en-US"/>
        </w:rPr>
        <w:t>Beaver River Surface Water Quality State of the Basin Report, 2006</w:t>
      </w:r>
      <w:r>
        <w:rPr>
          <w:lang w:val="en-US"/>
        </w:rPr>
        <w:t>.</w:t>
      </w:r>
      <w:bookmarkEnd w:id="36"/>
    </w:p>
    <w:p w:rsidR="009D458C" w:rsidRPr="009D458C" w:rsidRDefault="009D458C" w:rsidP="009D458C">
      <w:pPr>
        <w:rPr>
          <w:lang w:eastAsia="en-CA"/>
        </w:rPr>
      </w:pPr>
    </w:p>
    <w:p w:rsidR="009B1D49" w:rsidRDefault="009B1D49" w:rsidP="009B1D49">
      <w:pPr>
        <w:pStyle w:val="graphic"/>
        <w:keepNext/>
        <w:jc w:val="both"/>
      </w:pPr>
      <w:r>
        <w:rPr>
          <w:noProof/>
        </w:rPr>
        <w:lastRenderedPageBreak/>
        <w:drawing>
          <wp:inline distT="0" distB="0" distL="0" distR="0">
            <wp:extent cx="4812316" cy="3600000"/>
            <wp:effectExtent l="19050" t="19050" r="26384" b="1950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3" cstate="print"/>
                    <a:srcRect/>
                    <a:stretch>
                      <a:fillRect/>
                    </a:stretch>
                  </pic:blipFill>
                  <pic:spPr bwMode="auto">
                    <a:xfrm>
                      <a:off x="0" y="0"/>
                      <a:ext cx="4812316"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CF2DC9" w:rsidRDefault="009B1D49" w:rsidP="009B1D49">
      <w:pPr>
        <w:pStyle w:val="Caption"/>
        <w:jc w:val="both"/>
      </w:pPr>
      <w:bookmarkStart w:id="37" w:name="_Ref325446713"/>
      <w:bookmarkStart w:id="38" w:name="_Toc338703792"/>
      <w:proofErr w:type="gramStart"/>
      <w:r>
        <w:t xml:space="preserve">Figure </w:t>
      </w:r>
      <w:r w:rsidR="00575CA7">
        <w:fldChar w:fldCharType="begin"/>
      </w:r>
      <w:r>
        <w:instrText xml:space="preserve"> SEQ Figure \* ARABIC </w:instrText>
      </w:r>
      <w:r w:rsidR="00575CA7">
        <w:fldChar w:fldCharType="separate"/>
      </w:r>
      <w:r w:rsidR="00A02D22">
        <w:rPr>
          <w:noProof/>
        </w:rPr>
        <w:t>12</w:t>
      </w:r>
      <w:r w:rsidR="00575CA7">
        <w:fldChar w:fldCharType="end"/>
      </w:r>
      <w:bookmarkEnd w:id="37"/>
      <w:r>
        <w:t>.</w:t>
      </w:r>
      <w:proofErr w:type="gramEnd"/>
      <w:r>
        <w:t xml:space="preserve"> </w:t>
      </w:r>
      <w:proofErr w:type="gramStart"/>
      <w:r>
        <w:t>The natural disturbance regimes of the CLFN</w:t>
      </w:r>
      <w:r w:rsidR="004C53F9">
        <w:t xml:space="preserve"> SA</w:t>
      </w:r>
      <w:r w:rsidR="00154873">
        <w:t>.</w:t>
      </w:r>
      <w:bookmarkEnd w:id="38"/>
      <w:proofErr w:type="gramEnd"/>
    </w:p>
    <w:p w:rsidR="009B1D49" w:rsidRDefault="009B1D49" w:rsidP="00030E16">
      <w:pPr>
        <w:pStyle w:val="graphic"/>
        <w:jc w:val="both"/>
      </w:pPr>
    </w:p>
    <w:p w:rsidR="009B1D49" w:rsidRDefault="009B1D49" w:rsidP="009B1D49">
      <w:pPr>
        <w:pStyle w:val="graphic"/>
        <w:keepNext/>
        <w:jc w:val="both"/>
      </w:pPr>
      <w:r>
        <w:rPr>
          <w:noProof/>
        </w:rPr>
        <w:drawing>
          <wp:inline distT="0" distB="0" distL="0" distR="0">
            <wp:extent cx="4751337" cy="3600000"/>
            <wp:effectExtent l="19050" t="19050" r="11163" b="19500"/>
            <wp:docPr id="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 cstate="print"/>
                    <a:srcRect/>
                    <a:stretch>
                      <a:fillRect/>
                    </a:stretch>
                  </pic:blipFill>
                  <pic:spPr bwMode="auto">
                    <a:xfrm>
                      <a:off x="0" y="0"/>
                      <a:ext cx="4751337"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9B1D49" w:rsidRDefault="009B1D49" w:rsidP="009B1D49">
      <w:pPr>
        <w:pStyle w:val="Caption"/>
        <w:jc w:val="both"/>
      </w:pPr>
      <w:bookmarkStart w:id="39" w:name="_Ref325446746"/>
      <w:bookmarkStart w:id="40" w:name="_Toc338703793"/>
      <w:proofErr w:type="gramStart"/>
      <w:r>
        <w:t xml:space="preserve">Figure </w:t>
      </w:r>
      <w:r w:rsidR="00575CA7">
        <w:fldChar w:fldCharType="begin"/>
      </w:r>
      <w:r>
        <w:instrText xml:space="preserve"> SEQ Figure \* ARABIC </w:instrText>
      </w:r>
      <w:r w:rsidR="00575CA7">
        <w:fldChar w:fldCharType="separate"/>
      </w:r>
      <w:r w:rsidR="00A02D22">
        <w:rPr>
          <w:noProof/>
        </w:rPr>
        <w:t>13</w:t>
      </w:r>
      <w:r w:rsidR="00575CA7">
        <w:fldChar w:fldCharType="end"/>
      </w:r>
      <w:bookmarkEnd w:id="39"/>
      <w:r>
        <w:t>.</w:t>
      </w:r>
      <w:proofErr w:type="gramEnd"/>
      <w:r>
        <w:t xml:space="preserve"> Annual area burned in Alberta, illustrating episodic nature of large fire events. Source: SRD Historical Fire Database.</w:t>
      </w:r>
      <w:bookmarkEnd w:id="40"/>
    </w:p>
    <w:p w:rsidR="009B1D49" w:rsidRDefault="009B1D49" w:rsidP="009B1D49">
      <w:pPr>
        <w:pStyle w:val="Caption"/>
        <w:jc w:val="both"/>
      </w:pPr>
    </w:p>
    <w:p w:rsidR="009B1D49" w:rsidRDefault="009B1D49" w:rsidP="00030E16">
      <w:pPr>
        <w:pStyle w:val="graphic"/>
        <w:jc w:val="both"/>
      </w:pPr>
    </w:p>
    <w:p w:rsidR="009B1D49" w:rsidRDefault="00BE2763" w:rsidP="009B1D49">
      <w:pPr>
        <w:pStyle w:val="graphic"/>
        <w:keepNext/>
        <w:jc w:val="both"/>
      </w:pPr>
      <w:r>
        <w:rPr>
          <w:noProof/>
        </w:rPr>
        <w:lastRenderedPageBreak/>
        <w:drawing>
          <wp:inline distT="0" distB="0" distL="0" distR="0">
            <wp:extent cx="4779574" cy="3600000"/>
            <wp:effectExtent l="19050" t="19050" r="21026" b="1950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5" cstate="print"/>
                    <a:srcRect/>
                    <a:stretch>
                      <a:fillRect/>
                    </a:stretch>
                  </pic:blipFill>
                  <pic:spPr bwMode="auto">
                    <a:xfrm>
                      <a:off x="0" y="0"/>
                      <a:ext cx="4779574"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9B1D49" w:rsidRDefault="009B1D49" w:rsidP="009B1D49">
      <w:pPr>
        <w:pStyle w:val="Caption"/>
        <w:jc w:val="both"/>
      </w:pPr>
      <w:bookmarkStart w:id="41" w:name="_Ref325446759"/>
      <w:bookmarkStart w:id="42" w:name="_Toc338703794"/>
      <w:proofErr w:type="gramStart"/>
      <w:r>
        <w:t xml:space="preserve">Figure </w:t>
      </w:r>
      <w:r w:rsidR="00575CA7">
        <w:fldChar w:fldCharType="begin"/>
      </w:r>
      <w:r>
        <w:instrText xml:space="preserve"> SEQ Figure \* ARABIC </w:instrText>
      </w:r>
      <w:r w:rsidR="00575CA7">
        <w:fldChar w:fldCharType="separate"/>
      </w:r>
      <w:r w:rsidR="00A02D22">
        <w:rPr>
          <w:noProof/>
        </w:rPr>
        <w:t>14</w:t>
      </w:r>
      <w:r w:rsidR="00575CA7">
        <w:fldChar w:fldCharType="end"/>
      </w:r>
      <w:bookmarkEnd w:id="41"/>
      <w:r>
        <w:t>.</w:t>
      </w:r>
      <w:proofErr w:type="gramEnd"/>
      <w:r>
        <w:t xml:space="preserve"> Cumulative area burned in Alberta and distribution of large fire events within CLFN</w:t>
      </w:r>
      <w:r w:rsidR="004C53F9">
        <w:t xml:space="preserve"> SA</w:t>
      </w:r>
      <w:r>
        <w:t>. Source: SRD Historical Fire Database.</w:t>
      </w:r>
      <w:bookmarkEnd w:id="42"/>
    </w:p>
    <w:p w:rsidR="001F4FB8" w:rsidRDefault="00EE75A9" w:rsidP="001F4FB8">
      <w:pPr>
        <w:keepNext/>
      </w:pPr>
      <w:r>
        <w:rPr>
          <w:noProof/>
          <w:lang w:val="en-US"/>
        </w:rPr>
        <w:lastRenderedPageBreak/>
        <w:drawing>
          <wp:inline distT="0" distB="0" distL="0" distR="0">
            <wp:extent cx="5943600" cy="7691718"/>
            <wp:effectExtent l="19050" t="19050" r="19050" b="23532"/>
            <wp:docPr id="747" name="Picture 27" descr="C:\Users\Brad\AppData\Local\Microsoft\Windows\Temporary Internet Files\Content.Outlook\GXZ0MIL5\CLFN LT Types Formal Map Predisturbance May 23-201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Brad\AppData\Local\Microsoft\Windows\Temporary Internet Files\Content.Outlook\GXZ0MIL5\CLFN LT Types Formal Map Predisturbance May 23-2012 (2).png"/>
                    <pic:cNvPicPr>
                      <a:picLocks noChangeAspect="1" noChangeArrowheads="1"/>
                    </pic:cNvPicPr>
                  </pic:nvPicPr>
                  <pic:blipFill>
                    <a:blip r:embed="rId26" cstate="print"/>
                    <a:srcRect/>
                    <a:stretch>
                      <a:fillRect/>
                    </a:stretch>
                  </pic:blipFill>
                  <pic:spPr bwMode="auto">
                    <a:xfrm>
                      <a:off x="0" y="0"/>
                      <a:ext cx="5943600" cy="7691718"/>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1F4FB8" w:rsidRDefault="001F4FB8" w:rsidP="001F4FB8">
      <w:pPr>
        <w:pStyle w:val="Caption"/>
      </w:pPr>
      <w:bookmarkStart w:id="43" w:name="_Ref326236109"/>
      <w:bookmarkStart w:id="44" w:name="_Toc338703795"/>
      <w:proofErr w:type="gramStart"/>
      <w:r>
        <w:t xml:space="preserve">Figure </w:t>
      </w:r>
      <w:fldSimple w:instr=" SEQ Figure \* ARABIC ">
        <w:r w:rsidR="00A02D22">
          <w:rPr>
            <w:noProof/>
          </w:rPr>
          <w:t>15</w:t>
        </w:r>
      </w:fldSimple>
      <w:bookmarkEnd w:id="43"/>
      <w:r w:rsidR="001F1E00">
        <w:t>.</w:t>
      </w:r>
      <w:proofErr w:type="gramEnd"/>
      <w:r w:rsidR="001F1E00">
        <w:t xml:space="preserve"> Pre-Industrial landscape c</w:t>
      </w:r>
      <w:r>
        <w:t xml:space="preserve">omposition of CLFN </w:t>
      </w:r>
      <w:r w:rsidR="004C53F9">
        <w:t>SA</w:t>
      </w:r>
      <w:r>
        <w:t>.</w:t>
      </w:r>
      <w:bookmarkEnd w:id="44"/>
    </w:p>
    <w:p w:rsidR="001F4FB8" w:rsidRPr="001F4FB8" w:rsidRDefault="001F4FB8" w:rsidP="001F4FB8">
      <w:pPr>
        <w:rPr>
          <w:lang w:eastAsia="en-CA"/>
        </w:rPr>
      </w:pPr>
    </w:p>
    <w:p w:rsidR="005330BC" w:rsidRDefault="003F7CCD" w:rsidP="005330BC">
      <w:pPr>
        <w:pStyle w:val="graphic"/>
        <w:keepNext/>
        <w:jc w:val="both"/>
      </w:pPr>
      <w:r>
        <w:rPr>
          <w:noProof/>
        </w:rPr>
        <w:lastRenderedPageBreak/>
        <w:drawing>
          <wp:inline distT="0" distB="0" distL="0" distR="0">
            <wp:extent cx="4787740" cy="3600000"/>
            <wp:effectExtent l="19050" t="19050" r="12860" b="1950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7" cstate="print"/>
                    <a:srcRect/>
                    <a:stretch>
                      <a:fillRect/>
                    </a:stretch>
                  </pic:blipFill>
                  <pic:spPr bwMode="auto">
                    <a:xfrm>
                      <a:off x="0" y="0"/>
                      <a:ext cx="4787740"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CF2DC9" w:rsidRDefault="005330BC" w:rsidP="005330BC">
      <w:pPr>
        <w:pStyle w:val="Caption"/>
        <w:jc w:val="both"/>
      </w:pPr>
      <w:bookmarkStart w:id="45" w:name="_Ref325447930"/>
      <w:bookmarkStart w:id="46" w:name="_Toc338703796"/>
      <w:proofErr w:type="gramStart"/>
      <w:r>
        <w:t xml:space="preserve">Figure </w:t>
      </w:r>
      <w:r w:rsidR="00575CA7">
        <w:fldChar w:fldCharType="begin"/>
      </w:r>
      <w:r>
        <w:instrText xml:space="preserve"> SEQ Figure \* ARABIC </w:instrText>
      </w:r>
      <w:r w:rsidR="00575CA7">
        <w:fldChar w:fldCharType="separate"/>
      </w:r>
      <w:r w:rsidR="00A02D22">
        <w:rPr>
          <w:noProof/>
        </w:rPr>
        <w:t>16</w:t>
      </w:r>
      <w:r w:rsidR="00575CA7">
        <w:fldChar w:fldCharType="end"/>
      </w:r>
      <w:bookmarkEnd w:id="45"/>
      <w:r>
        <w:t>.</w:t>
      </w:r>
      <w:proofErr w:type="gramEnd"/>
      <w:r>
        <w:t xml:space="preserve"> Initial forest age class structure of different forest types </w:t>
      </w:r>
      <w:r w:rsidR="00154873">
        <w:t>within</w:t>
      </w:r>
      <w:r>
        <w:t xml:space="preserve"> CLFN</w:t>
      </w:r>
      <w:r w:rsidR="004C53F9">
        <w:t xml:space="preserve"> SA</w:t>
      </w:r>
      <w:r>
        <w:t>.</w:t>
      </w:r>
      <w:bookmarkEnd w:id="46"/>
    </w:p>
    <w:p w:rsidR="00F23D9F" w:rsidRPr="00F23D9F" w:rsidRDefault="00F23D9F" w:rsidP="00F23D9F">
      <w:pPr>
        <w:rPr>
          <w:lang w:eastAsia="en-CA"/>
        </w:rPr>
      </w:pPr>
    </w:p>
    <w:p w:rsidR="003F7CCD" w:rsidRDefault="003F7CCD" w:rsidP="00030E16">
      <w:pPr>
        <w:pStyle w:val="graphic"/>
        <w:jc w:val="both"/>
      </w:pPr>
    </w:p>
    <w:p w:rsidR="005330BC" w:rsidRDefault="003F7CCD" w:rsidP="005330BC">
      <w:pPr>
        <w:pStyle w:val="graphic"/>
        <w:keepNext/>
        <w:jc w:val="both"/>
      </w:pPr>
      <w:r>
        <w:rPr>
          <w:noProof/>
        </w:rPr>
        <w:drawing>
          <wp:inline distT="0" distB="0" distL="0" distR="0">
            <wp:extent cx="4781578" cy="3600000"/>
            <wp:effectExtent l="19050" t="19050" r="19022" b="1950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8" cstate="print"/>
                    <a:srcRect/>
                    <a:stretch>
                      <a:fillRect/>
                    </a:stretch>
                  </pic:blipFill>
                  <pic:spPr bwMode="auto">
                    <a:xfrm>
                      <a:off x="0" y="0"/>
                      <a:ext cx="4781578"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154873" w:rsidRDefault="005330BC" w:rsidP="00154873">
      <w:pPr>
        <w:pStyle w:val="Caption"/>
        <w:jc w:val="both"/>
      </w:pPr>
      <w:bookmarkStart w:id="47" w:name="_Ref325447933"/>
      <w:bookmarkStart w:id="48" w:name="_Toc338703797"/>
      <w:proofErr w:type="gramStart"/>
      <w:r>
        <w:t xml:space="preserve">Figure </w:t>
      </w:r>
      <w:r w:rsidR="00575CA7">
        <w:fldChar w:fldCharType="begin"/>
      </w:r>
      <w:r>
        <w:instrText xml:space="preserve"> SEQ Figure \* ARABIC </w:instrText>
      </w:r>
      <w:r w:rsidR="00575CA7">
        <w:fldChar w:fldCharType="separate"/>
      </w:r>
      <w:r w:rsidR="00A02D22">
        <w:rPr>
          <w:noProof/>
        </w:rPr>
        <w:t>17</w:t>
      </w:r>
      <w:r w:rsidR="00575CA7">
        <w:fldChar w:fldCharType="end"/>
      </w:r>
      <w:bookmarkEnd w:id="47"/>
      <w:r>
        <w:t>.</w:t>
      </w:r>
      <w:proofErr w:type="gramEnd"/>
      <w:r>
        <w:t xml:space="preserve"> Initial forest age class structure of combined forest types </w:t>
      </w:r>
      <w:r w:rsidR="00154873">
        <w:t xml:space="preserve">within CLFN </w:t>
      </w:r>
      <w:r w:rsidR="004C53F9">
        <w:t>SA</w:t>
      </w:r>
      <w:r w:rsidR="00154873">
        <w:t>.</w:t>
      </w:r>
      <w:bookmarkEnd w:id="48"/>
    </w:p>
    <w:p w:rsidR="003F7CCD" w:rsidRDefault="003F7CCD" w:rsidP="005330BC">
      <w:pPr>
        <w:pStyle w:val="Caption"/>
        <w:jc w:val="both"/>
      </w:pPr>
    </w:p>
    <w:p w:rsidR="003F7CCD" w:rsidRDefault="003F7CCD" w:rsidP="00030E16">
      <w:pPr>
        <w:pStyle w:val="graphic"/>
        <w:jc w:val="both"/>
      </w:pPr>
    </w:p>
    <w:p w:rsidR="003F7CCD" w:rsidRDefault="003F7CCD" w:rsidP="00030E16">
      <w:pPr>
        <w:pStyle w:val="graphic"/>
        <w:jc w:val="both"/>
        <w:sectPr w:rsidR="003F7CCD" w:rsidSect="007A2AE9">
          <w:type w:val="continuous"/>
          <w:pgSz w:w="12240" w:h="15840"/>
          <w:pgMar w:top="-1440" w:right="1440" w:bottom="-1440" w:left="1440" w:header="720" w:footer="720" w:gutter="0"/>
          <w:cols w:space="504"/>
        </w:sectPr>
      </w:pPr>
    </w:p>
    <w:p w:rsidR="001A780C" w:rsidRDefault="001F1140" w:rsidP="001A780C">
      <w:pPr>
        <w:pStyle w:val="Heading2"/>
      </w:pPr>
      <w:bookmarkStart w:id="49" w:name="_Toc338703682"/>
      <w:r>
        <w:lastRenderedPageBreak/>
        <w:t>Biodiversity</w:t>
      </w:r>
      <w:bookmarkEnd w:id="49"/>
    </w:p>
    <w:p w:rsidR="001A780C" w:rsidRDefault="001A780C" w:rsidP="001A780C">
      <w:pPr>
        <w:pStyle w:val="GeneralText"/>
      </w:pPr>
      <w:r>
        <w:t xml:space="preserve">Alberta’s boreal mixedwood forest </w:t>
      </w:r>
      <w:r w:rsidR="00536CE2">
        <w:t xml:space="preserve">landscape in which CLFN SA is located </w:t>
      </w:r>
      <w:r>
        <w:t>supports a diverse assemblage of organisms, including 40 fish species (Nelson and Paetz 1992), five amphibians (Russell and Bauer 1993), one reptile (Russell and Bauer 1993), 236 birds (Francis and Lumbis 1979; Semenchuk 1992), and 45 mammals (Pattie and Hoffmann 1992; Smith 1993). Taxonomic richness of arthropods in the boreal forest is poorly documented, but is believed to be remarkably high. For example, insect taxa in Canada’s boreal forest have been estimated at 220,000 species, of which only half have been enumerated (Danks and Foottit 1989).</w:t>
      </w:r>
    </w:p>
    <w:p w:rsidR="001A780C" w:rsidRDefault="001A780C" w:rsidP="001A780C">
      <w:pPr>
        <w:pStyle w:val="GeneralText"/>
      </w:pPr>
      <w:r>
        <w:t>Based on distribution maps in Moss (1983) and Vitt et al. (1988), conservative estimates indicate a rich diversity of plants in Alberta’s boreal mixedwood forests, including 600 vascular species, 17 ferns, 104 mosses, 13 liverworts, and 118 lichens.</w:t>
      </w:r>
    </w:p>
    <w:p w:rsidR="00AC65AE" w:rsidRDefault="00AC65AE" w:rsidP="001A780C">
      <w:pPr>
        <w:pStyle w:val="GeneralText"/>
      </w:pPr>
      <w:r>
        <w:t xml:space="preserve">The </w:t>
      </w:r>
      <w:r w:rsidR="00536CE2">
        <w:t xml:space="preserve">diverse </w:t>
      </w:r>
      <w:r>
        <w:t>assemblage of biota in the CLFN SA was instrumental to the sustenance, physical comforts, and spiritual welfare of the CLFN people. In contrast to the highly disaggregated approach adopted by most scientists, the</w:t>
      </w:r>
      <w:r w:rsidR="00536CE2">
        <w:t>ir</w:t>
      </w:r>
      <w:r>
        <w:t xml:space="preserve"> world view of the regional landscape and its biotic components </w:t>
      </w:r>
      <w:r w:rsidR="00836B4C">
        <w:t>has been</w:t>
      </w:r>
      <w:r>
        <w:t xml:space="preserve"> highly integrative. </w:t>
      </w:r>
    </w:p>
    <w:p w:rsidR="0083540A" w:rsidRPr="004963C4" w:rsidRDefault="0083540A" w:rsidP="0083540A">
      <w:pPr>
        <w:jc w:val="right"/>
        <w:rPr>
          <w:rFonts w:ascii="Arial" w:hAnsi="Arial" w:cs="Arial"/>
          <w:b/>
        </w:rPr>
        <w:sectPr w:rsidR="0083540A" w:rsidRPr="004963C4" w:rsidSect="007A2AE9">
          <w:headerReference w:type="default" r:id="rId29"/>
          <w:pgSz w:w="12240" w:h="15840"/>
          <w:pgMar w:top="1440" w:right="1800" w:bottom="1440" w:left="1800" w:header="720" w:footer="720" w:gutter="0"/>
          <w:pgNumType w:fmt="lowerRoman" w:start="1"/>
          <w:cols w:space="720"/>
          <w:titlePg/>
          <w:docGrid w:linePitch="326"/>
        </w:sectPr>
      </w:pPr>
      <w:r>
        <w:rPr>
          <w:rFonts w:ascii="Arial" w:hAnsi="Arial" w:cs="Arial"/>
          <w:b/>
        </w:rPr>
        <w:tab/>
      </w:r>
    </w:p>
    <w:p w:rsidR="007C6461" w:rsidRDefault="007C6461" w:rsidP="00871C3E">
      <w:pPr>
        <w:pStyle w:val="Heading1"/>
      </w:pPr>
      <w:bookmarkStart w:id="50" w:name="_Toc338703683"/>
      <w:r>
        <w:lastRenderedPageBreak/>
        <w:t>The Case for Cumulative Effects Assessment</w:t>
      </w:r>
      <w:bookmarkEnd w:id="50"/>
    </w:p>
    <w:p w:rsidR="009D458C" w:rsidRDefault="009D458C" w:rsidP="009D458C">
      <w:pPr>
        <w:pStyle w:val="BodyText"/>
        <w:rPr>
          <w:lang w:val="en-US"/>
        </w:rPr>
      </w:pPr>
      <w:r>
        <w:rPr>
          <w:lang w:val="en-US"/>
        </w:rPr>
        <w:t xml:space="preserve">The landscape of the CLFN SA has been collectively, and incrementally, transformed by a suite of overlapping </w:t>
      </w:r>
      <w:r w:rsidR="00C544DE">
        <w:rPr>
          <w:lang w:val="en-US"/>
        </w:rPr>
        <w:t>land-use</w:t>
      </w:r>
      <w:r>
        <w:rPr>
          <w:lang w:val="en-US"/>
        </w:rPr>
        <w:t>s that include CLFN, residential, agriculture, Provincial Parks and Recreation Areas, and the sectors of oil, mining, transportation, and military (</w:t>
      </w:r>
      <w:r w:rsidR="00575CA7">
        <w:rPr>
          <w:lang w:val="en-US"/>
        </w:rPr>
        <w:fldChar w:fldCharType="begin"/>
      </w:r>
      <w:r>
        <w:rPr>
          <w:lang w:val="en-US"/>
        </w:rPr>
        <w:instrText xml:space="preserve"> REF _Ref325472250 \h </w:instrText>
      </w:r>
      <w:r w:rsidR="00575CA7">
        <w:rPr>
          <w:lang w:val="en-US"/>
        </w:rPr>
      </w:r>
      <w:r w:rsidR="00575CA7">
        <w:rPr>
          <w:lang w:val="en-US"/>
        </w:rPr>
        <w:fldChar w:fldCharType="separate"/>
      </w:r>
      <w:r w:rsidR="003648B8">
        <w:t xml:space="preserve">Figure </w:t>
      </w:r>
      <w:r w:rsidR="003648B8">
        <w:rPr>
          <w:noProof/>
        </w:rPr>
        <w:t>29</w:t>
      </w:r>
      <w:r w:rsidR="00575CA7">
        <w:rPr>
          <w:lang w:val="en-US"/>
        </w:rPr>
        <w:fldChar w:fldCharType="end"/>
      </w:r>
      <w:r>
        <w:rPr>
          <w:lang w:val="en-US"/>
        </w:rPr>
        <w:t>).</w:t>
      </w:r>
    </w:p>
    <w:p w:rsidR="009D458C" w:rsidRDefault="009D458C" w:rsidP="009D458C">
      <w:pPr>
        <w:pStyle w:val="BodyText"/>
        <w:rPr>
          <w:lang w:val="en-US"/>
        </w:rPr>
      </w:pPr>
      <w:r>
        <w:rPr>
          <w:lang w:val="en-US"/>
        </w:rPr>
        <w:t xml:space="preserve">Since the arrival of European culture to the CLFN SA, a series of </w:t>
      </w:r>
      <w:r w:rsidR="00C544DE">
        <w:rPr>
          <w:lang w:val="en-US"/>
        </w:rPr>
        <w:t>land-use</w:t>
      </w:r>
      <w:r>
        <w:rPr>
          <w:lang w:val="en-US"/>
        </w:rPr>
        <w:t>s have unfolded that have profoundly affected landscape composition and ecological function (</w:t>
      </w:r>
      <w:r w:rsidR="00575CA7">
        <w:rPr>
          <w:lang w:val="en-US"/>
        </w:rPr>
        <w:fldChar w:fldCharType="begin"/>
      </w:r>
      <w:r>
        <w:rPr>
          <w:lang w:val="en-US"/>
        </w:rPr>
        <w:instrText xml:space="preserve"> REF _Ref325879578 \h </w:instrText>
      </w:r>
      <w:r w:rsidR="00575CA7">
        <w:rPr>
          <w:lang w:val="en-US"/>
        </w:rPr>
      </w:r>
      <w:r w:rsidR="00575CA7">
        <w:rPr>
          <w:lang w:val="en-US"/>
        </w:rPr>
        <w:fldChar w:fldCharType="separate"/>
      </w:r>
      <w:r w:rsidR="003648B8">
        <w:t xml:space="preserve">Figure </w:t>
      </w:r>
      <w:r w:rsidR="003648B8">
        <w:rPr>
          <w:noProof/>
        </w:rPr>
        <w:t>18</w:t>
      </w:r>
      <w:r w:rsidR="003648B8">
        <w:t xml:space="preserve">. </w:t>
      </w:r>
      <w:proofErr w:type="gramStart"/>
      <w:r w:rsidR="003648B8">
        <w:t>Generalized sequence of arrival and magnitude of land-uses in the CLFN SA.</w:t>
      </w:r>
      <w:r w:rsidR="00575CA7">
        <w:rPr>
          <w:lang w:val="en-US"/>
        </w:rPr>
        <w:fldChar w:fldCharType="end"/>
      </w:r>
      <w:r>
        <w:rPr>
          <w:lang w:val="en-US"/>
        </w:rPr>
        <w:t>).</w:t>
      </w:r>
      <w:proofErr w:type="gramEnd"/>
      <w:r>
        <w:rPr>
          <w:lang w:val="en-US"/>
        </w:rPr>
        <w:t xml:space="preserve"> As described previously, each </w:t>
      </w:r>
      <w:r w:rsidR="00C544DE">
        <w:rPr>
          <w:lang w:val="en-US"/>
        </w:rPr>
        <w:t>land-use</w:t>
      </w:r>
      <w:r>
        <w:rPr>
          <w:lang w:val="en-US"/>
        </w:rPr>
        <w:t xml:space="preserve"> has affected CLFN peoples in many ways, and impacted or constrained the ability of CLFN to continue their traditional activities on Traditional Territory. Individual human initiated projects, including each quarter section that has </w:t>
      </w:r>
      <w:r w:rsidR="00836B4C">
        <w:rPr>
          <w:lang w:val="en-US"/>
        </w:rPr>
        <w:t xml:space="preserve">been </w:t>
      </w:r>
      <w:r>
        <w:rPr>
          <w:lang w:val="en-US"/>
        </w:rPr>
        <w:t xml:space="preserve">or continues to be deforested for crops, each well and its associated seismic lines, wellpads and access roads, hectares of townsite expansion into adjacent boreal forest, new parks and new military projects, collectively explain the transformation and the suite of benefits and liabilities that impact CLFN peoples at a regional scale. </w:t>
      </w:r>
    </w:p>
    <w:p w:rsidR="009D458C" w:rsidRDefault="009D458C" w:rsidP="009D458C">
      <w:pPr>
        <w:pStyle w:val="BodyText"/>
        <w:rPr>
          <w:lang w:val="en-US"/>
        </w:rPr>
      </w:pPr>
      <w:r>
        <w:rPr>
          <w:lang w:val="en-US"/>
        </w:rPr>
        <w:t xml:space="preserve">In setting a platform for discussion, it is also important to recognize that each of these </w:t>
      </w:r>
      <w:r w:rsidR="00C544DE">
        <w:rPr>
          <w:lang w:val="en-US"/>
        </w:rPr>
        <w:t>land-use</w:t>
      </w:r>
      <w:r>
        <w:rPr>
          <w:lang w:val="en-US"/>
        </w:rPr>
        <w:t xml:space="preserve">s currently exist </w:t>
      </w:r>
      <w:r w:rsidR="00624932">
        <w:rPr>
          <w:lang w:val="en-US"/>
        </w:rPr>
        <w:t>in the Traditional Territory</w:t>
      </w:r>
      <w:r>
        <w:rPr>
          <w:lang w:val="en-US"/>
        </w:rPr>
        <w:t xml:space="preserve"> and are intended to increase in both area, intensity and productivity in the decades to come. This becomes clear when undertaking a cursory review of the business plans of the Government of Alberta (Alberta Agriculture, Alberta Energy, </w:t>
      </w:r>
      <w:proofErr w:type="gramStart"/>
      <w:r>
        <w:rPr>
          <w:lang w:val="en-US"/>
        </w:rPr>
        <w:t>Alberta</w:t>
      </w:r>
      <w:proofErr w:type="gramEnd"/>
      <w:r>
        <w:rPr>
          <w:lang w:val="en-US"/>
        </w:rPr>
        <w:t xml:space="preserve"> Transportation) and industrial associations (Canadian Association of Petroleum Producers, Alberta Beef Producers) which illustrate that management objectives are predicated on incremental growth in each of these sectors. As such, it is important to explore the consequences of these intended growth trajectories on a suite of social, economic, and environmental indicators.</w:t>
      </w:r>
    </w:p>
    <w:p w:rsidR="009D458C" w:rsidRDefault="009D458C" w:rsidP="009D458C">
      <w:pPr>
        <w:pStyle w:val="BodyText"/>
        <w:rPr>
          <w:lang w:val="en-US"/>
        </w:rPr>
      </w:pPr>
      <w:r>
        <w:rPr>
          <w:lang w:val="en-US"/>
        </w:rPr>
        <w:t xml:space="preserve">The history of EIA’s in Canada and the current regulatory structure of ERCB emphasize and endorse a “project by project” approach to understanding </w:t>
      </w:r>
      <w:r w:rsidR="00C544DE">
        <w:rPr>
          <w:lang w:val="en-US"/>
        </w:rPr>
        <w:t>land-use</w:t>
      </w:r>
      <w:r>
        <w:rPr>
          <w:lang w:val="en-US"/>
        </w:rPr>
        <w:t xml:space="preserve"> and its implications. This constrained view does not permit a full comprehension of historical, current and future </w:t>
      </w:r>
      <w:r w:rsidR="00C544DE">
        <w:rPr>
          <w:lang w:val="en-US"/>
        </w:rPr>
        <w:t>land-use</w:t>
      </w:r>
      <w:r>
        <w:rPr>
          <w:lang w:val="en-US"/>
        </w:rPr>
        <w:t xml:space="preserve"> trajectories, or their risk/benefit ratios, and as such is not in the best public interest. The key conceptual differences between EIA’s and regional cumulative effects assessments are provide</w:t>
      </w:r>
      <w:r w:rsidR="00E33B2B">
        <w:rPr>
          <w:lang w:val="en-US"/>
        </w:rPr>
        <w:t>d</w:t>
      </w:r>
      <w:r>
        <w:rPr>
          <w:lang w:val="en-US"/>
        </w:rPr>
        <w:t xml:space="preserve"> in </w:t>
      </w:r>
      <w:r w:rsidR="00575CA7">
        <w:rPr>
          <w:lang w:val="en-US"/>
        </w:rPr>
        <w:fldChar w:fldCharType="begin"/>
      </w:r>
      <w:r>
        <w:rPr>
          <w:lang w:val="en-US"/>
        </w:rPr>
        <w:instrText xml:space="preserve"> REF _Ref325880299 \h </w:instrText>
      </w:r>
      <w:r w:rsidR="00575CA7">
        <w:rPr>
          <w:lang w:val="en-US"/>
        </w:rPr>
      </w:r>
      <w:r w:rsidR="00575CA7">
        <w:rPr>
          <w:lang w:val="en-US"/>
        </w:rPr>
        <w:fldChar w:fldCharType="separate"/>
      </w:r>
      <w:r w:rsidR="003648B8">
        <w:t xml:space="preserve">Figure </w:t>
      </w:r>
      <w:r w:rsidR="003648B8">
        <w:rPr>
          <w:noProof/>
        </w:rPr>
        <w:t>21</w:t>
      </w:r>
      <w:r w:rsidR="00575CA7">
        <w:rPr>
          <w:lang w:val="en-US"/>
        </w:rPr>
        <w:fldChar w:fldCharType="end"/>
      </w:r>
      <w:r w:rsidR="00A229D1">
        <w:rPr>
          <w:lang w:val="en-US"/>
        </w:rPr>
        <w:t xml:space="preserve"> and </w:t>
      </w:r>
      <w:r w:rsidR="00575CA7">
        <w:rPr>
          <w:lang w:val="en-US"/>
        </w:rPr>
        <w:fldChar w:fldCharType="begin"/>
      </w:r>
      <w:r w:rsidR="00A229D1">
        <w:rPr>
          <w:lang w:val="en-US"/>
        </w:rPr>
        <w:instrText xml:space="preserve"> REF _Ref326236609 \h </w:instrText>
      </w:r>
      <w:r w:rsidR="00575CA7">
        <w:rPr>
          <w:lang w:val="en-US"/>
        </w:rPr>
      </w:r>
      <w:r w:rsidR="00575CA7">
        <w:rPr>
          <w:lang w:val="en-US"/>
        </w:rPr>
        <w:fldChar w:fldCharType="separate"/>
      </w:r>
      <w:r w:rsidR="003648B8">
        <w:t xml:space="preserve">Figure </w:t>
      </w:r>
      <w:r w:rsidR="003648B8">
        <w:rPr>
          <w:noProof/>
        </w:rPr>
        <w:t>22</w:t>
      </w:r>
      <w:r w:rsidR="00575CA7">
        <w:rPr>
          <w:lang w:val="en-US"/>
        </w:rPr>
        <w:fldChar w:fldCharType="end"/>
      </w:r>
      <w:r>
        <w:rPr>
          <w:lang w:val="en-US"/>
        </w:rPr>
        <w:t>. This report strives to adopt and implement the criteria of comprehensive cumulative effects assessments.</w:t>
      </w:r>
    </w:p>
    <w:p w:rsidR="009D458C" w:rsidRDefault="009D458C" w:rsidP="009D458C">
      <w:pPr>
        <w:pStyle w:val="BodyText"/>
        <w:rPr>
          <w:lang w:val="en-US"/>
        </w:rPr>
      </w:pPr>
      <w:r>
        <w:rPr>
          <w:lang w:val="en-US"/>
        </w:rPr>
        <w:t xml:space="preserve">The consequences of adopting a project by project approach to </w:t>
      </w:r>
      <w:r w:rsidR="00C544DE">
        <w:rPr>
          <w:lang w:val="en-US"/>
        </w:rPr>
        <w:t>land-use</w:t>
      </w:r>
      <w:r>
        <w:rPr>
          <w:lang w:val="en-US"/>
        </w:rPr>
        <w:t xml:space="preserve"> in the CLFN SA is illustrated for past (</w:t>
      </w:r>
      <w:r w:rsidR="00575CA7">
        <w:rPr>
          <w:lang w:val="en-US"/>
        </w:rPr>
        <w:fldChar w:fldCharType="begin"/>
      </w:r>
      <w:r>
        <w:rPr>
          <w:lang w:val="en-US"/>
        </w:rPr>
        <w:instrText xml:space="preserve"> REF _Ref325880879 \h </w:instrText>
      </w:r>
      <w:r w:rsidR="00575CA7">
        <w:rPr>
          <w:lang w:val="en-US"/>
        </w:rPr>
      </w:r>
      <w:r w:rsidR="00575CA7">
        <w:rPr>
          <w:lang w:val="en-US"/>
        </w:rPr>
        <w:fldChar w:fldCharType="separate"/>
      </w:r>
      <w:r w:rsidR="003648B8">
        <w:t xml:space="preserve">Figure </w:t>
      </w:r>
      <w:r w:rsidR="003648B8">
        <w:rPr>
          <w:noProof/>
        </w:rPr>
        <w:t>19</w:t>
      </w:r>
      <w:r w:rsidR="00575CA7">
        <w:rPr>
          <w:lang w:val="en-US"/>
        </w:rPr>
        <w:fldChar w:fldCharType="end"/>
      </w:r>
      <w:r>
        <w:rPr>
          <w:lang w:val="en-US"/>
        </w:rPr>
        <w:t>) and a “potential” future (</w:t>
      </w:r>
      <w:r w:rsidR="00575CA7">
        <w:rPr>
          <w:lang w:val="en-US"/>
        </w:rPr>
        <w:fldChar w:fldCharType="begin"/>
      </w:r>
      <w:r>
        <w:rPr>
          <w:lang w:val="en-US"/>
        </w:rPr>
        <w:instrText xml:space="preserve"> REF _Ref325880894 \h </w:instrText>
      </w:r>
      <w:r w:rsidR="00575CA7">
        <w:rPr>
          <w:lang w:val="en-US"/>
        </w:rPr>
      </w:r>
      <w:r w:rsidR="00575CA7">
        <w:rPr>
          <w:lang w:val="en-US"/>
        </w:rPr>
        <w:fldChar w:fldCharType="separate"/>
      </w:r>
      <w:r w:rsidR="003648B8">
        <w:t xml:space="preserve">Figure </w:t>
      </w:r>
      <w:r w:rsidR="003648B8">
        <w:rPr>
          <w:noProof/>
        </w:rPr>
        <w:t>20</w:t>
      </w:r>
      <w:r w:rsidR="00575CA7">
        <w:rPr>
          <w:lang w:val="en-US"/>
        </w:rPr>
        <w:fldChar w:fldCharType="end"/>
      </w:r>
      <w:r>
        <w:rPr>
          <w:lang w:val="en-US"/>
        </w:rPr>
        <w:t xml:space="preserve">) using the direct footprint of the energy sector. Because of analytical short-comings of EIAs with respect to comparative space and time, an EIA seldom concludes that any individual proposed project will have any significant effect at regional scales. Given that scientists generally adopt a confidence level of 5% when assessing the significance of a proposed project to be located on a regional landscape already populated with other projects, it becomes mathematically impossible to conclude that there will be a significant effect if the reference point is a contemporary one and not the pre-industrial conditions. Simply put, placing a few new </w:t>
      </w:r>
      <w:r w:rsidR="00C544DE">
        <w:rPr>
          <w:lang w:val="en-US"/>
        </w:rPr>
        <w:t>land-use</w:t>
      </w:r>
      <w:r>
        <w:rPr>
          <w:lang w:val="en-US"/>
        </w:rPr>
        <w:t xml:space="preserve"> footprints on a large regional landscape already busy with activity, and then comparing the future condition to a reference point defined as today, cannot meaningfully reveal the true dynamics of </w:t>
      </w:r>
      <w:r w:rsidR="00C544DE">
        <w:rPr>
          <w:lang w:val="en-US"/>
        </w:rPr>
        <w:t>land-use</w:t>
      </w:r>
      <w:r>
        <w:rPr>
          <w:lang w:val="en-US"/>
        </w:rPr>
        <w:t xml:space="preserve"> or their benefits and liabilities.</w:t>
      </w:r>
    </w:p>
    <w:p w:rsidR="009D458C" w:rsidRDefault="009D458C" w:rsidP="009D458C">
      <w:pPr>
        <w:pStyle w:val="BodyText"/>
        <w:rPr>
          <w:lang w:val="en-US"/>
        </w:rPr>
      </w:pPr>
      <w:r>
        <w:rPr>
          <w:lang w:val="en-US"/>
        </w:rPr>
        <w:lastRenderedPageBreak/>
        <w:t xml:space="preserve">The next section (An Overview of </w:t>
      </w:r>
      <w:r w:rsidR="00C544DE">
        <w:rPr>
          <w:lang w:val="en-US"/>
        </w:rPr>
        <w:t>Land-use</w:t>
      </w:r>
      <w:r>
        <w:rPr>
          <w:lang w:val="en-US"/>
        </w:rPr>
        <w:t xml:space="preserve">s) chronicles the general history, pace, magnitude and distribution of </w:t>
      </w:r>
      <w:r w:rsidR="00C544DE">
        <w:rPr>
          <w:lang w:val="en-US"/>
        </w:rPr>
        <w:t>land-use</w:t>
      </w:r>
      <w:r>
        <w:rPr>
          <w:lang w:val="en-US"/>
        </w:rPr>
        <w:t xml:space="preserve">s within the CLFN SA. These materials are intended to assist the reader in understanding “meaningful” space and time when discussing issues relating to </w:t>
      </w:r>
      <w:r w:rsidR="00C544DE">
        <w:rPr>
          <w:lang w:val="en-US"/>
        </w:rPr>
        <w:t>land-use</w:t>
      </w:r>
      <w:r>
        <w:rPr>
          <w:lang w:val="en-US"/>
        </w:rPr>
        <w:t>s co-occurring on regional landscapes such as the CLFN SA.</w:t>
      </w:r>
    </w:p>
    <w:p w:rsidR="00723781" w:rsidRDefault="00723781" w:rsidP="00161ED4">
      <w:pPr>
        <w:pStyle w:val="BodyText"/>
        <w:rPr>
          <w:lang w:val="en-US"/>
        </w:rPr>
      </w:pPr>
    </w:p>
    <w:p w:rsidR="00F23D9F" w:rsidRDefault="00F23D9F" w:rsidP="00060C5B">
      <w:pPr>
        <w:pStyle w:val="BodyText"/>
        <w:keepNext/>
        <w:spacing w:after="0"/>
      </w:pPr>
    </w:p>
    <w:p w:rsidR="00F23D9F" w:rsidRDefault="00F23D9F" w:rsidP="00060C5B">
      <w:pPr>
        <w:pStyle w:val="BodyText"/>
        <w:keepNext/>
        <w:spacing w:after="0"/>
      </w:pPr>
    </w:p>
    <w:p w:rsidR="00F23D9F" w:rsidRDefault="00F23D9F" w:rsidP="00060C5B">
      <w:pPr>
        <w:pStyle w:val="BodyText"/>
        <w:keepNext/>
        <w:spacing w:after="0"/>
      </w:pPr>
    </w:p>
    <w:p w:rsidR="00F23D9F" w:rsidRDefault="00F23D9F" w:rsidP="00060C5B">
      <w:pPr>
        <w:pStyle w:val="BodyText"/>
        <w:keepNext/>
        <w:spacing w:after="0"/>
      </w:pPr>
    </w:p>
    <w:p w:rsidR="00F23D9F" w:rsidRDefault="00F23D9F" w:rsidP="00060C5B">
      <w:pPr>
        <w:pStyle w:val="BodyText"/>
        <w:keepNext/>
        <w:spacing w:after="0"/>
      </w:pPr>
    </w:p>
    <w:p w:rsidR="00F23D9F" w:rsidRDefault="00F23D9F" w:rsidP="00060C5B">
      <w:pPr>
        <w:pStyle w:val="BodyText"/>
        <w:keepNext/>
        <w:spacing w:after="0"/>
      </w:pPr>
    </w:p>
    <w:p w:rsidR="00F23D9F" w:rsidRDefault="00F23D9F" w:rsidP="00060C5B">
      <w:pPr>
        <w:pStyle w:val="BodyText"/>
        <w:keepNext/>
        <w:spacing w:after="0"/>
      </w:pPr>
    </w:p>
    <w:p w:rsidR="00F23D9F" w:rsidRDefault="00F23D9F" w:rsidP="00060C5B">
      <w:pPr>
        <w:pStyle w:val="BodyText"/>
        <w:keepNext/>
        <w:spacing w:after="0"/>
      </w:pPr>
    </w:p>
    <w:p w:rsidR="00F23D9F" w:rsidRDefault="00F23D9F" w:rsidP="00060C5B">
      <w:pPr>
        <w:pStyle w:val="BodyText"/>
        <w:keepNext/>
        <w:spacing w:after="0"/>
      </w:pPr>
    </w:p>
    <w:p w:rsidR="00E77828" w:rsidRDefault="00E77828" w:rsidP="00060C5B">
      <w:pPr>
        <w:pStyle w:val="BodyText"/>
        <w:keepNext/>
        <w:spacing w:after="0"/>
      </w:pPr>
    </w:p>
    <w:p w:rsidR="00E77828" w:rsidRDefault="00E77828" w:rsidP="00060C5B">
      <w:pPr>
        <w:pStyle w:val="BodyText"/>
        <w:keepNext/>
        <w:spacing w:after="0"/>
      </w:pPr>
    </w:p>
    <w:p w:rsidR="00F23D9F" w:rsidRDefault="00F23D9F" w:rsidP="00060C5B">
      <w:pPr>
        <w:pStyle w:val="BodyText"/>
        <w:keepNext/>
        <w:spacing w:after="0"/>
      </w:pPr>
    </w:p>
    <w:p w:rsidR="00F23D9F" w:rsidRDefault="00F23D9F" w:rsidP="00060C5B">
      <w:pPr>
        <w:pStyle w:val="BodyText"/>
        <w:keepNext/>
        <w:spacing w:after="0"/>
      </w:pPr>
    </w:p>
    <w:p w:rsidR="00F23D9F" w:rsidRDefault="00F23D9F" w:rsidP="00060C5B">
      <w:pPr>
        <w:pStyle w:val="BodyText"/>
        <w:keepNext/>
        <w:spacing w:after="0"/>
      </w:pPr>
    </w:p>
    <w:p w:rsidR="00060C5B" w:rsidRDefault="003F217E" w:rsidP="00060C5B">
      <w:pPr>
        <w:pStyle w:val="BodyText"/>
        <w:keepNext/>
        <w:spacing w:after="0"/>
      </w:pPr>
      <w:r>
        <w:rPr>
          <w:noProof/>
          <w:lang w:val="en-US"/>
        </w:rPr>
        <w:drawing>
          <wp:inline distT="0" distB="0" distL="0" distR="0">
            <wp:extent cx="4752145" cy="3600000"/>
            <wp:effectExtent l="19050" t="19050" r="10355" b="19500"/>
            <wp:docPr id="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srcRect/>
                    <a:stretch>
                      <a:fillRect/>
                    </a:stretch>
                  </pic:blipFill>
                  <pic:spPr bwMode="auto">
                    <a:xfrm>
                      <a:off x="0" y="0"/>
                      <a:ext cx="4752145"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060C5B" w:rsidRDefault="00060C5B" w:rsidP="00060C5B">
      <w:pPr>
        <w:pStyle w:val="Caption"/>
      </w:pPr>
      <w:bookmarkStart w:id="51" w:name="_Ref325879648"/>
      <w:bookmarkStart w:id="52" w:name="_Ref325879578"/>
      <w:bookmarkStart w:id="53" w:name="_Toc338703798"/>
      <w:proofErr w:type="gramStart"/>
      <w:r>
        <w:t xml:space="preserve">Figure </w:t>
      </w:r>
      <w:fldSimple w:instr=" SEQ Figure \* ARABIC ">
        <w:r w:rsidR="00A02D22">
          <w:rPr>
            <w:noProof/>
          </w:rPr>
          <w:t>18</w:t>
        </w:r>
      </w:fldSimple>
      <w:bookmarkEnd w:id="51"/>
      <w:r>
        <w:t>.</w:t>
      </w:r>
      <w:proofErr w:type="gramEnd"/>
      <w:r>
        <w:t xml:space="preserve"> </w:t>
      </w:r>
      <w:proofErr w:type="gramStart"/>
      <w:r>
        <w:t xml:space="preserve">Generalized sequence of arrival and magnitude of </w:t>
      </w:r>
      <w:r w:rsidR="00C544DE">
        <w:t>land-use</w:t>
      </w:r>
      <w:r>
        <w:t>s in the CLFN SA.</w:t>
      </w:r>
      <w:bookmarkEnd w:id="52"/>
      <w:bookmarkEnd w:id="53"/>
      <w:proofErr w:type="gramEnd"/>
    </w:p>
    <w:p w:rsidR="00060C5B" w:rsidRDefault="00135FD3" w:rsidP="00060C5B">
      <w:pPr>
        <w:pStyle w:val="BodyText"/>
        <w:keepNext/>
        <w:spacing w:after="0"/>
      </w:pPr>
      <w:r>
        <w:rPr>
          <w:noProof/>
          <w:lang w:val="en-US"/>
        </w:rPr>
        <w:lastRenderedPageBreak/>
        <w:drawing>
          <wp:inline distT="0" distB="0" distL="0" distR="0">
            <wp:extent cx="4755963" cy="3600000"/>
            <wp:effectExtent l="19050" t="19050" r="25587" b="19500"/>
            <wp:docPr id="50"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1" cstate="print"/>
                    <a:srcRect/>
                    <a:stretch>
                      <a:fillRect/>
                    </a:stretch>
                  </pic:blipFill>
                  <pic:spPr bwMode="auto">
                    <a:xfrm>
                      <a:off x="0" y="0"/>
                      <a:ext cx="4755963"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135FD3" w:rsidRDefault="00060C5B" w:rsidP="00060C5B">
      <w:pPr>
        <w:pStyle w:val="Caption"/>
      </w:pPr>
      <w:bookmarkStart w:id="54" w:name="_Ref325880879"/>
      <w:bookmarkStart w:id="55" w:name="_Toc338703799"/>
      <w:proofErr w:type="gramStart"/>
      <w:r>
        <w:t xml:space="preserve">Figure </w:t>
      </w:r>
      <w:fldSimple w:instr=" SEQ Figure \* ARABIC ">
        <w:r w:rsidR="00A02D22">
          <w:rPr>
            <w:noProof/>
          </w:rPr>
          <w:t>19</w:t>
        </w:r>
      </w:fldSimple>
      <w:bookmarkEnd w:id="54"/>
      <w:r>
        <w:t>.</w:t>
      </w:r>
      <w:proofErr w:type="gramEnd"/>
      <w:r>
        <w:t xml:space="preserve"> </w:t>
      </w:r>
      <w:proofErr w:type="gramStart"/>
      <w:r>
        <w:t>The simulated historical growth of the energy sector on CLFN using CLFN ALCES.</w:t>
      </w:r>
      <w:proofErr w:type="gramEnd"/>
      <w:r>
        <w:t xml:space="preserve"> Historical trend reveals the incremental and additive transformation of a landscape where projects are being considered one by one.</w:t>
      </w:r>
      <w:bookmarkEnd w:id="55"/>
    </w:p>
    <w:p w:rsidR="009A6AFD" w:rsidRPr="009A6AFD" w:rsidRDefault="009A6AFD" w:rsidP="009A6AFD">
      <w:pPr>
        <w:rPr>
          <w:lang w:eastAsia="en-CA"/>
        </w:rPr>
      </w:pPr>
    </w:p>
    <w:p w:rsidR="00135FD3" w:rsidRDefault="00135FD3" w:rsidP="00060C5B">
      <w:pPr>
        <w:pStyle w:val="BodyText"/>
        <w:keepNext/>
        <w:spacing w:after="0"/>
      </w:pPr>
      <w:r>
        <w:rPr>
          <w:noProof/>
          <w:lang w:val="en-US"/>
        </w:rPr>
        <w:drawing>
          <wp:inline distT="0" distB="0" distL="0" distR="0">
            <wp:extent cx="4788915" cy="3600000"/>
            <wp:effectExtent l="19050" t="19050" r="11685" b="19500"/>
            <wp:docPr id="51"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2" cstate="print"/>
                    <a:srcRect/>
                    <a:stretch>
                      <a:fillRect/>
                    </a:stretch>
                  </pic:blipFill>
                  <pic:spPr bwMode="auto">
                    <a:xfrm>
                      <a:off x="0" y="0"/>
                      <a:ext cx="4788915"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135FD3" w:rsidRDefault="00135FD3" w:rsidP="00135FD3">
      <w:pPr>
        <w:pStyle w:val="Caption"/>
      </w:pPr>
      <w:bookmarkStart w:id="56" w:name="_Ref325880894"/>
      <w:bookmarkStart w:id="57" w:name="_Toc338703800"/>
      <w:proofErr w:type="gramStart"/>
      <w:r>
        <w:t xml:space="preserve">Figure </w:t>
      </w:r>
      <w:fldSimple w:instr=" SEQ Figure \* ARABIC ">
        <w:r w:rsidR="00A02D22">
          <w:rPr>
            <w:noProof/>
          </w:rPr>
          <w:t>20</w:t>
        </w:r>
      </w:fldSimple>
      <w:bookmarkEnd w:id="56"/>
      <w:r>
        <w:t>.</w:t>
      </w:r>
      <w:proofErr w:type="gramEnd"/>
      <w:r>
        <w:t xml:space="preserve"> </w:t>
      </w:r>
      <w:proofErr w:type="gramStart"/>
      <w:r>
        <w:t xml:space="preserve">The cumulative effect of many consecutive small additions of </w:t>
      </w:r>
      <w:r w:rsidR="00C544DE">
        <w:t>land-use</w:t>
      </w:r>
      <w:r>
        <w:t xml:space="preserve"> footprint lead invariably to a fundamentally transformed landscape.</w:t>
      </w:r>
      <w:bookmarkEnd w:id="57"/>
      <w:proofErr w:type="gramEnd"/>
    </w:p>
    <w:p w:rsidR="00135FD3" w:rsidRDefault="00135FD3" w:rsidP="00060C5B">
      <w:pPr>
        <w:pStyle w:val="BodyText"/>
        <w:keepNext/>
        <w:spacing w:after="0"/>
      </w:pPr>
      <w:r>
        <w:rPr>
          <w:noProof/>
          <w:lang w:val="en-US"/>
        </w:rPr>
        <w:lastRenderedPageBreak/>
        <w:drawing>
          <wp:inline distT="0" distB="0" distL="0" distR="0">
            <wp:extent cx="4766897" cy="3600000"/>
            <wp:effectExtent l="19050" t="19050" r="14653" b="19500"/>
            <wp:docPr id="53"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3" cstate="print"/>
                    <a:srcRect/>
                    <a:stretch>
                      <a:fillRect/>
                    </a:stretch>
                  </pic:blipFill>
                  <pic:spPr bwMode="auto">
                    <a:xfrm>
                      <a:off x="0" y="0"/>
                      <a:ext cx="4766897"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135FD3" w:rsidRDefault="00135FD3" w:rsidP="00135FD3">
      <w:pPr>
        <w:pStyle w:val="Caption"/>
      </w:pPr>
      <w:bookmarkStart w:id="58" w:name="_Ref325880299"/>
      <w:bookmarkStart w:id="59" w:name="_Toc338703801"/>
      <w:proofErr w:type="gramStart"/>
      <w:r>
        <w:t xml:space="preserve">Figure </w:t>
      </w:r>
      <w:fldSimple w:instr=" SEQ Figure \* ARABIC ">
        <w:r w:rsidR="00A02D22">
          <w:rPr>
            <w:noProof/>
          </w:rPr>
          <w:t>21</w:t>
        </w:r>
      </w:fldSimple>
      <w:bookmarkEnd w:id="58"/>
      <w:r w:rsidR="00060C5B">
        <w:t>.</w:t>
      </w:r>
      <w:proofErr w:type="gramEnd"/>
      <w:r w:rsidR="00060C5B">
        <w:t xml:space="preserve"> </w:t>
      </w:r>
      <w:proofErr w:type="gramStart"/>
      <w:r w:rsidR="00060C5B">
        <w:t>Key differences between the typical “project by project” EIA approach and a comprehensive cumulative effects assessment.</w:t>
      </w:r>
      <w:bookmarkEnd w:id="59"/>
      <w:proofErr w:type="gramEnd"/>
    </w:p>
    <w:p w:rsidR="00F23D9F" w:rsidRPr="00F23D9F" w:rsidRDefault="00F23D9F" w:rsidP="00F23D9F">
      <w:pPr>
        <w:rPr>
          <w:lang w:eastAsia="en-CA"/>
        </w:rPr>
      </w:pPr>
    </w:p>
    <w:p w:rsidR="00EA6DE4" w:rsidRDefault="00EA6DE4" w:rsidP="00EA6DE4">
      <w:pPr>
        <w:pStyle w:val="BodyText"/>
        <w:keepNext/>
        <w:spacing w:after="0"/>
      </w:pPr>
      <w:r>
        <w:rPr>
          <w:noProof/>
          <w:lang w:val="en-US"/>
        </w:rPr>
        <w:drawing>
          <wp:inline distT="0" distB="0" distL="0" distR="0">
            <wp:extent cx="4769821" cy="3600000"/>
            <wp:effectExtent l="19050" t="19050" r="11729" b="1950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4" cstate="print"/>
                    <a:srcRect/>
                    <a:stretch>
                      <a:fillRect/>
                    </a:stretch>
                  </pic:blipFill>
                  <pic:spPr bwMode="auto">
                    <a:xfrm>
                      <a:off x="0" y="0"/>
                      <a:ext cx="4769821"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EA6DE4" w:rsidRDefault="00EA6DE4" w:rsidP="00EA6DE4">
      <w:pPr>
        <w:pStyle w:val="Caption"/>
        <w:rPr>
          <w:lang w:val="en-US"/>
        </w:rPr>
      </w:pPr>
      <w:bookmarkStart w:id="60" w:name="_Ref326236609"/>
      <w:bookmarkStart w:id="61" w:name="_Toc338703802"/>
      <w:proofErr w:type="gramStart"/>
      <w:r>
        <w:t xml:space="preserve">Figure </w:t>
      </w:r>
      <w:fldSimple w:instr=" SEQ Figure \* ARABIC ">
        <w:r w:rsidR="00A02D22">
          <w:rPr>
            <w:noProof/>
          </w:rPr>
          <w:t>22</w:t>
        </w:r>
      </w:fldSimple>
      <w:bookmarkEnd w:id="60"/>
      <w:r>
        <w:t>.</w:t>
      </w:r>
      <w:proofErr w:type="gramEnd"/>
      <w:r>
        <w:t xml:space="preserve"> The conclusion of EIA’s adopting a </w:t>
      </w:r>
      <w:r w:rsidR="001F1E00">
        <w:t>“</w:t>
      </w:r>
      <w:r>
        <w:t>project by project</w:t>
      </w:r>
      <w:r w:rsidR="001F1E00">
        <w:t>”</w:t>
      </w:r>
      <w:r>
        <w:t xml:space="preserve"> approach is an incomplete conversation about both the benefits and liabilities that attend </w:t>
      </w:r>
      <w:r w:rsidR="00C544DE">
        <w:t>land-use</w:t>
      </w:r>
      <w:r>
        <w:t>.</w:t>
      </w:r>
      <w:bookmarkEnd w:id="61"/>
    </w:p>
    <w:p w:rsidR="009D5FFF" w:rsidRDefault="009D5FFF" w:rsidP="009D5FFF">
      <w:pPr>
        <w:pStyle w:val="Heading1"/>
      </w:pPr>
      <w:bookmarkStart w:id="62" w:name="_Toc338703684"/>
      <w:r>
        <w:lastRenderedPageBreak/>
        <w:t>Overview of the CLFN SA ALCES Simulators</w:t>
      </w:r>
      <w:bookmarkEnd w:id="62"/>
    </w:p>
    <w:p w:rsidR="001F7033" w:rsidRPr="001F7033" w:rsidRDefault="001F7033" w:rsidP="001F7033">
      <w:pPr>
        <w:pStyle w:val="BodyText"/>
        <w:rPr>
          <w:lang w:val="en-US"/>
        </w:rPr>
      </w:pPr>
      <w:r>
        <w:rPr>
          <w:lang w:val="en-US"/>
        </w:rPr>
        <w:t>A detailed overview of the CLFN ALCES simulator and ALCES Mapper is provided in Appendix A. The descriptions which follow are general overviews of key components of these applications.</w:t>
      </w:r>
    </w:p>
    <w:p w:rsidR="009D5FFF" w:rsidRDefault="009D5FFF" w:rsidP="009D5FFF">
      <w:pPr>
        <w:pStyle w:val="Heading2"/>
        <w:rPr>
          <w:rFonts w:eastAsiaTheme="minorHAnsi"/>
        </w:rPr>
      </w:pPr>
      <w:bookmarkStart w:id="63" w:name="_Toc338703685"/>
      <w:r>
        <w:rPr>
          <w:rFonts w:eastAsiaTheme="minorHAnsi"/>
        </w:rPr>
        <w:t>ALCES CLFN Simulator</w:t>
      </w:r>
      <w:bookmarkEnd w:id="63"/>
    </w:p>
    <w:p w:rsidR="009D5FFF" w:rsidRPr="004C0A97" w:rsidRDefault="009D5FFF" w:rsidP="009D5FFF">
      <w:pPr>
        <w:autoSpaceDE w:val="0"/>
        <w:autoSpaceDN w:val="0"/>
        <w:adjustRightInd w:val="0"/>
        <w:rPr>
          <w:rFonts w:eastAsiaTheme="minorHAnsi"/>
        </w:rPr>
      </w:pPr>
      <w:r w:rsidRPr="004C0A97">
        <w:rPr>
          <w:rFonts w:eastAsiaTheme="minorHAnsi"/>
        </w:rPr>
        <w:t>ALCES is a landscape cumulative effects model that simulates past, current and future</w:t>
      </w:r>
    </w:p>
    <w:p w:rsidR="009D5FFF" w:rsidRDefault="009D5FFF" w:rsidP="009D5FFF">
      <w:pPr>
        <w:autoSpaceDE w:val="0"/>
        <w:autoSpaceDN w:val="0"/>
        <w:adjustRightInd w:val="0"/>
        <w:rPr>
          <w:rFonts w:eastAsiaTheme="minorHAnsi"/>
        </w:rPr>
      </w:pPr>
      <w:proofErr w:type="gramStart"/>
      <w:r w:rsidRPr="004C0A97">
        <w:rPr>
          <w:rFonts w:eastAsiaTheme="minorHAnsi"/>
        </w:rPr>
        <w:t>landscape</w:t>
      </w:r>
      <w:proofErr w:type="gramEnd"/>
      <w:r w:rsidRPr="004C0A97">
        <w:rPr>
          <w:rFonts w:eastAsiaTheme="minorHAnsi"/>
        </w:rPr>
        <w:t xml:space="preserve"> conditions, </w:t>
      </w:r>
      <w:r w:rsidR="00C544DE">
        <w:rPr>
          <w:rFonts w:eastAsiaTheme="minorHAnsi"/>
        </w:rPr>
        <w:t>land-use</w:t>
      </w:r>
      <w:r w:rsidRPr="004C0A97">
        <w:rPr>
          <w:rFonts w:eastAsiaTheme="minorHAnsi"/>
        </w:rPr>
        <w:t xml:space="preserve"> footprints, reclamation and other indicators based on user-defined parameters. As noted above, ALCES is not a predictive model; it allows users to define </w:t>
      </w:r>
      <w:r w:rsidR="00C544DE">
        <w:rPr>
          <w:rFonts w:eastAsiaTheme="minorHAnsi"/>
        </w:rPr>
        <w:t>land-use</w:t>
      </w:r>
      <w:r w:rsidRPr="004C0A97">
        <w:rPr>
          <w:rFonts w:eastAsiaTheme="minorHAnsi"/>
        </w:rPr>
        <w:t xml:space="preserve"> scenarios and project their potential outcomes into the future. The model enables users to explore and quantify dynamic landscapes affected by single or multiple human </w:t>
      </w:r>
      <w:r w:rsidR="00C544DE">
        <w:rPr>
          <w:rFonts w:eastAsiaTheme="minorHAnsi"/>
        </w:rPr>
        <w:t>land-use</w:t>
      </w:r>
      <w:r w:rsidRPr="004C0A97">
        <w:rPr>
          <w:rFonts w:eastAsiaTheme="minorHAnsi"/>
        </w:rPr>
        <w:t xml:space="preserve"> practices and various natural processes such as fire, insects and flooding. </w:t>
      </w:r>
    </w:p>
    <w:p w:rsidR="009D5FFF" w:rsidRDefault="009D5FFF" w:rsidP="009D5FFF">
      <w:pPr>
        <w:autoSpaceDE w:val="0"/>
        <w:autoSpaceDN w:val="0"/>
        <w:adjustRightInd w:val="0"/>
        <w:rPr>
          <w:rFonts w:eastAsiaTheme="minorHAnsi"/>
        </w:rPr>
      </w:pPr>
    </w:p>
    <w:p w:rsidR="009D5FFF" w:rsidRPr="004C0A97" w:rsidRDefault="009D5FFF" w:rsidP="009D5FFF">
      <w:pPr>
        <w:autoSpaceDE w:val="0"/>
        <w:autoSpaceDN w:val="0"/>
        <w:adjustRightInd w:val="0"/>
        <w:rPr>
          <w:rFonts w:eastAsiaTheme="minorHAnsi"/>
        </w:rPr>
      </w:pPr>
      <w:r w:rsidRPr="004C0A97">
        <w:rPr>
          <w:rFonts w:eastAsiaTheme="minorHAnsi"/>
        </w:rPr>
        <w:t>ALCES assists resource managers, planners and approval agencies by:</w:t>
      </w:r>
    </w:p>
    <w:p w:rsidR="009D5FFF" w:rsidRPr="004C0A97" w:rsidRDefault="009D5FFF" w:rsidP="009D5FFF">
      <w:pPr>
        <w:autoSpaceDE w:val="0"/>
        <w:autoSpaceDN w:val="0"/>
        <w:adjustRightInd w:val="0"/>
        <w:rPr>
          <w:rFonts w:eastAsiaTheme="minorHAnsi"/>
        </w:rPr>
      </w:pPr>
    </w:p>
    <w:p w:rsidR="009D5FFF" w:rsidRPr="00F23D9F" w:rsidRDefault="0068131E" w:rsidP="009D5FFF">
      <w:pPr>
        <w:pStyle w:val="ListParagraph"/>
        <w:numPr>
          <w:ilvl w:val="0"/>
          <w:numId w:val="18"/>
        </w:numPr>
        <w:autoSpaceDE w:val="0"/>
        <w:autoSpaceDN w:val="0"/>
        <w:adjustRightInd w:val="0"/>
        <w:ind w:left="284" w:hanging="284"/>
        <w:rPr>
          <w:rFonts w:ascii="Times New Roman" w:hAnsi="Times New Roman" w:cs="Times New Roman"/>
          <w:sz w:val="24"/>
        </w:rPr>
      </w:pPr>
      <w:r w:rsidRPr="00F23D9F">
        <w:rPr>
          <w:rFonts w:ascii="Times New Roman" w:hAnsi="Times New Roman" w:cs="Times New Roman"/>
          <w:sz w:val="24"/>
        </w:rPr>
        <w:t>T</w:t>
      </w:r>
      <w:r w:rsidR="009D5FFF" w:rsidRPr="00F23D9F">
        <w:rPr>
          <w:rFonts w:ascii="Times New Roman" w:hAnsi="Times New Roman" w:cs="Times New Roman"/>
          <w:sz w:val="24"/>
        </w:rPr>
        <w:t xml:space="preserve">racking </w:t>
      </w:r>
      <w:r w:rsidR="00C544DE">
        <w:rPr>
          <w:rFonts w:ascii="Times New Roman" w:hAnsi="Times New Roman" w:cs="Times New Roman"/>
          <w:sz w:val="24"/>
        </w:rPr>
        <w:t>land-use</w:t>
      </w:r>
      <w:r w:rsidR="009D5FFF" w:rsidRPr="00F23D9F">
        <w:rPr>
          <w:rFonts w:ascii="Times New Roman" w:hAnsi="Times New Roman" w:cs="Times New Roman"/>
          <w:sz w:val="24"/>
        </w:rPr>
        <w:t xml:space="preserve"> footprints created by, resources consumed by, and economic contributions of, different </w:t>
      </w:r>
      <w:r w:rsidR="00C544DE">
        <w:rPr>
          <w:rFonts w:ascii="Times New Roman" w:hAnsi="Times New Roman" w:cs="Times New Roman"/>
          <w:sz w:val="24"/>
        </w:rPr>
        <w:t>land-use</w:t>
      </w:r>
      <w:r w:rsidR="009D5FFF" w:rsidRPr="00F23D9F">
        <w:rPr>
          <w:rFonts w:ascii="Times New Roman" w:hAnsi="Times New Roman" w:cs="Times New Roman"/>
          <w:sz w:val="24"/>
        </w:rPr>
        <w:t xml:space="preserve"> practices,</w:t>
      </w:r>
    </w:p>
    <w:p w:rsidR="009D5FFF" w:rsidRPr="00F23D9F" w:rsidRDefault="0068131E" w:rsidP="009D5FFF">
      <w:pPr>
        <w:pStyle w:val="ListParagraph"/>
        <w:numPr>
          <w:ilvl w:val="0"/>
          <w:numId w:val="22"/>
        </w:numPr>
        <w:autoSpaceDE w:val="0"/>
        <w:autoSpaceDN w:val="0"/>
        <w:adjustRightInd w:val="0"/>
        <w:ind w:left="284" w:hanging="284"/>
        <w:rPr>
          <w:rFonts w:ascii="Times New Roman" w:hAnsi="Times New Roman" w:cs="Times New Roman"/>
          <w:sz w:val="24"/>
        </w:rPr>
      </w:pPr>
      <w:r w:rsidRPr="00F23D9F">
        <w:rPr>
          <w:rFonts w:ascii="Times New Roman" w:hAnsi="Times New Roman" w:cs="Times New Roman"/>
          <w:sz w:val="24"/>
        </w:rPr>
        <w:t>I</w:t>
      </w:r>
      <w:r w:rsidR="009D5FFF" w:rsidRPr="00F23D9F">
        <w:rPr>
          <w:rFonts w:ascii="Times New Roman" w:hAnsi="Times New Roman" w:cs="Times New Roman"/>
          <w:sz w:val="24"/>
        </w:rPr>
        <w:t xml:space="preserve">dentifying </w:t>
      </w:r>
      <w:r w:rsidR="00DD6A63" w:rsidRPr="00F23D9F">
        <w:rPr>
          <w:rFonts w:ascii="Times New Roman" w:hAnsi="Times New Roman" w:cs="Times New Roman"/>
          <w:sz w:val="24"/>
        </w:rPr>
        <w:t xml:space="preserve">the </w:t>
      </w:r>
      <w:r w:rsidR="009D5FFF" w:rsidRPr="00F23D9F">
        <w:rPr>
          <w:rFonts w:ascii="Times New Roman" w:hAnsi="Times New Roman" w:cs="Times New Roman"/>
          <w:sz w:val="24"/>
        </w:rPr>
        <w:t xml:space="preserve">response of ecological, social, and economic indicators to natural and </w:t>
      </w:r>
      <w:r w:rsidR="00C544DE">
        <w:rPr>
          <w:rFonts w:ascii="Times New Roman" w:hAnsi="Times New Roman" w:cs="Times New Roman"/>
          <w:sz w:val="24"/>
        </w:rPr>
        <w:t>land-use</w:t>
      </w:r>
      <w:r w:rsidR="009D5FFF" w:rsidRPr="00F23D9F">
        <w:rPr>
          <w:rFonts w:ascii="Times New Roman" w:hAnsi="Times New Roman" w:cs="Times New Roman"/>
          <w:sz w:val="24"/>
        </w:rPr>
        <w:t xml:space="preserve"> related change, </w:t>
      </w:r>
    </w:p>
    <w:p w:rsidR="009D5FFF" w:rsidRPr="00F23D9F" w:rsidRDefault="0068131E" w:rsidP="009D5FFF">
      <w:pPr>
        <w:pStyle w:val="ListParagraph"/>
        <w:numPr>
          <w:ilvl w:val="0"/>
          <w:numId w:val="22"/>
        </w:numPr>
        <w:autoSpaceDE w:val="0"/>
        <w:autoSpaceDN w:val="0"/>
        <w:adjustRightInd w:val="0"/>
        <w:ind w:left="284" w:hanging="284"/>
        <w:rPr>
          <w:rFonts w:ascii="Times New Roman" w:hAnsi="Times New Roman" w:cs="Times New Roman"/>
          <w:sz w:val="24"/>
        </w:rPr>
      </w:pPr>
      <w:r w:rsidRPr="00F23D9F">
        <w:rPr>
          <w:rFonts w:ascii="Times New Roman" w:hAnsi="Times New Roman" w:cs="Times New Roman"/>
          <w:sz w:val="24"/>
        </w:rPr>
        <w:t>E</w:t>
      </w:r>
      <w:r w:rsidR="009D5FFF" w:rsidRPr="00F23D9F">
        <w:rPr>
          <w:rFonts w:ascii="Times New Roman" w:hAnsi="Times New Roman" w:cs="Times New Roman"/>
          <w:sz w:val="24"/>
        </w:rPr>
        <w:t>valuating mitigation strategies to reduce or avoid undesirable effects on ecological (e.g. inferred water quality), social (e.g. population), and economic (e.g. employment and royalty revenues) indicators.</w:t>
      </w:r>
    </w:p>
    <w:p w:rsidR="009D5FFF" w:rsidRDefault="009D5FFF" w:rsidP="009D5FFF">
      <w:pPr>
        <w:autoSpaceDE w:val="0"/>
        <w:autoSpaceDN w:val="0"/>
        <w:adjustRightInd w:val="0"/>
        <w:rPr>
          <w:rFonts w:eastAsiaTheme="minorHAnsi"/>
        </w:rPr>
      </w:pPr>
      <w:r w:rsidRPr="004C0A97">
        <w:rPr>
          <w:rFonts w:eastAsiaTheme="minorHAnsi"/>
        </w:rPr>
        <w:t>The architecture of the ALCES model is based on the following key concepts:</w:t>
      </w:r>
    </w:p>
    <w:p w:rsidR="009D5FFF" w:rsidRPr="004C0A97" w:rsidRDefault="009D5FFF" w:rsidP="009D5FFF">
      <w:pPr>
        <w:autoSpaceDE w:val="0"/>
        <w:autoSpaceDN w:val="0"/>
        <w:adjustRightInd w:val="0"/>
        <w:rPr>
          <w:rFonts w:eastAsiaTheme="minorHAnsi"/>
        </w:rPr>
      </w:pPr>
    </w:p>
    <w:p w:rsidR="009D5FFF" w:rsidRPr="00F23D9F" w:rsidRDefault="009D5FFF" w:rsidP="009D5FFF">
      <w:pPr>
        <w:pStyle w:val="ListParagraph"/>
        <w:numPr>
          <w:ilvl w:val="0"/>
          <w:numId w:val="22"/>
        </w:numPr>
        <w:autoSpaceDE w:val="0"/>
        <w:autoSpaceDN w:val="0"/>
        <w:adjustRightInd w:val="0"/>
        <w:ind w:left="360"/>
        <w:rPr>
          <w:rFonts w:ascii="Times New Roman" w:hAnsi="Times New Roman" w:cs="Times New Roman"/>
          <w:sz w:val="24"/>
        </w:rPr>
      </w:pPr>
      <w:r w:rsidRPr="00F23D9F">
        <w:rPr>
          <w:rFonts w:ascii="Times New Roman" w:hAnsi="Times New Roman" w:cs="Times New Roman"/>
          <w:sz w:val="24"/>
        </w:rPr>
        <w:t>The size of the study area can never change.</w:t>
      </w:r>
    </w:p>
    <w:p w:rsidR="009D5FFF" w:rsidRPr="00F23D9F" w:rsidRDefault="009D5FFF" w:rsidP="009D5FFF">
      <w:pPr>
        <w:pStyle w:val="ListParagraph"/>
        <w:numPr>
          <w:ilvl w:val="0"/>
          <w:numId w:val="22"/>
        </w:numPr>
        <w:autoSpaceDE w:val="0"/>
        <w:autoSpaceDN w:val="0"/>
        <w:adjustRightInd w:val="0"/>
        <w:ind w:left="360"/>
        <w:rPr>
          <w:rFonts w:ascii="Times New Roman" w:hAnsi="Times New Roman" w:cs="Times New Roman"/>
          <w:sz w:val="24"/>
        </w:rPr>
      </w:pPr>
      <w:r w:rsidRPr="00F23D9F">
        <w:rPr>
          <w:rFonts w:ascii="Times New Roman" w:hAnsi="Times New Roman" w:cs="Times New Roman"/>
          <w:sz w:val="24"/>
        </w:rPr>
        <w:t>The composition of the landscape can be highly dynamic, influencing all aspects of ecological, social, and economic performance of the study area.</w:t>
      </w:r>
    </w:p>
    <w:p w:rsidR="009D5FFF" w:rsidRPr="00F23D9F" w:rsidRDefault="009D5FFF" w:rsidP="009D5FFF">
      <w:pPr>
        <w:pStyle w:val="ListParagraph"/>
        <w:numPr>
          <w:ilvl w:val="0"/>
          <w:numId w:val="22"/>
        </w:numPr>
        <w:autoSpaceDE w:val="0"/>
        <w:autoSpaceDN w:val="0"/>
        <w:adjustRightInd w:val="0"/>
        <w:ind w:left="360"/>
        <w:rPr>
          <w:rFonts w:ascii="Times New Roman" w:hAnsi="Times New Roman" w:cs="Times New Roman"/>
          <w:sz w:val="24"/>
        </w:rPr>
      </w:pPr>
      <w:r w:rsidRPr="00F23D9F">
        <w:rPr>
          <w:rFonts w:ascii="Times New Roman" w:hAnsi="Times New Roman" w:cs="Times New Roman"/>
          <w:sz w:val="24"/>
        </w:rPr>
        <w:t xml:space="preserve">The dynamics of landscapes and key indicators are shaped by a suite of overlapping natural disturbance regimes (fire, insects, meteorology) and anthropogenic (human) </w:t>
      </w:r>
      <w:r w:rsidR="00C544DE">
        <w:rPr>
          <w:rFonts w:ascii="Times New Roman" w:hAnsi="Times New Roman" w:cs="Times New Roman"/>
          <w:sz w:val="24"/>
        </w:rPr>
        <w:t>land-use</w:t>
      </w:r>
      <w:r w:rsidRPr="00F23D9F">
        <w:rPr>
          <w:rFonts w:ascii="Times New Roman" w:hAnsi="Times New Roman" w:cs="Times New Roman"/>
          <w:sz w:val="24"/>
        </w:rPr>
        <w:t xml:space="preserve">s (residential, transportation, cropland agriculture, livestock agriculture, forestry, energy, mining, tourism, hunting, fishing and trapping). </w:t>
      </w:r>
    </w:p>
    <w:p w:rsidR="009D5FFF" w:rsidRPr="00F23D9F" w:rsidRDefault="009D5FFF" w:rsidP="009D5FFF">
      <w:pPr>
        <w:pStyle w:val="ListParagraph"/>
        <w:numPr>
          <w:ilvl w:val="0"/>
          <w:numId w:val="22"/>
        </w:numPr>
        <w:autoSpaceDE w:val="0"/>
        <w:autoSpaceDN w:val="0"/>
        <w:adjustRightInd w:val="0"/>
        <w:ind w:left="360"/>
        <w:rPr>
          <w:rFonts w:ascii="Times New Roman" w:hAnsi="Times New Roman" w:cs="Times New Roman"/>
          <w:sz w:val="24"/>
        </w:rPr>
      </w:pPr>
      <w:r w:rsidRPr="00F23D9F">
        <w:rPr>
          <w:rFonts w:ascii="Times New Roman" w:hAnsi="Times New Roman" w:cs="Times New Roman"/>
          <w:sz w:val="24"/>
        </w:rPr>
        <w:t xml:space="preserve">Each of these natural disturbance regimes and </w:t>
      </w:r>
      <w:r w:rsidR="00C544DE">
        <w:rPr>
          <w:rFonts w:ascii="Times New Roman" w:hAnsi="Times New Roman" w:cs="Times New Roman"/>
          <w:sz w:val="24"/>
        </w:rPr>
        <w:t>land-use</w:t>
      </w:r>
      <w:r w:rsidRPr="00F23D9F">
        <w:rPr>
          <w:rFonts w:ascii="Times New Roman" w:hAnsi="Times New Roman" w:cs="Times New Roman"/>
          <w:sz w:val="24"/>
        </w:rPr>
        <w:t xml:space="preserve">s is simulated separately in ALCES but can influence the behaviour of other </w:t>
      </w:r>
      <w:r w:rsidR="00C544DE">
        <w:rPr>
          <w:rFonts w:ascii="Times New Roman" w:hAnsi="Times New Roman" w:cs="Times New Roman"/>
          <w:sz w:val="24"/>
        </w:rPr>
        <w:t>land-use</w:t>
      </w:r>
      <w:r w:rsidRPr="00F23D9F">
        <w:rPr>
          <w:rFonts w:ascii="Times New Roman" w:hAnsi="Times New Roman" w:cs="Times New Roman"/>
          <w:sz w:val="24"/>
        </w:rPr>
        <w:t>s through changes to landscape composition and related values such as natural resources (e.g., timber supply, wildlife, tourism potential).</w:t>
      </w:r>
    </w:p>
    <w:p w:rsidR="009D5FFF" w:rsidRPr="00F23D9F" w:rsidRDefault="009D5FFF" w:rsidP="009D5FFF">
      <w:pPr>
        <w:pStyle w:val="ListParagraph"/>
        <w:numPr>
          <w:ilvl w:val="0"/>
          <w:numId w:val="22"/>
        </w:numPr>
        <w:autoSpaceDE w:val="0"/>
        <w:autoSpaceDN w:val="0"/>
        <w:adjustRightInd w:val="0"/>
        <w:ind w:left="360"/>
        <w:rPr>
          <w:rFonts w:ascii="Times New Roman" w:hAnsi="Times New Roman" w:cs="Times New Roman"/>
          <w:sz w:val="24"/>
        </w:rPr>
      </w:pPr>
      <w:r w:rsidRPr="00F23D9F">
        <w:rPr>
          <w:rFonts w:ascii="Times New Roman" w:hAnsi="Times New Roman" w:cs="Times New Roman"/>
          <w:sz w:val="24"/>
        </w:rPr>
        <w:t>Effective landscape planning requires the active participation of all meaningful stakeholder groups (or disciplines) in the planning process.</w:t>
      </w:r>
    </w:p>
    <w:p w:rsidR="009D5FFF" w:rsidRPr="00F23D9F" w:rsidRDefault="009D5FFF" w:rsidP="009D5FFF">
      <w:pPr>
        <w:pStyle w:val="ListParagraph"/>
        <w:numPr>
          <w:ilvl w:val="0"/>
          <w:numId w:val="22"/>
        </w:numPr>
        <w:autoSpaceDE w:val="0"/>
        <w:autoSpaceDN w:val="0"/>
        <w:adjustRightInd w:val="0"/>
        <w:ind w:left="360"/>
        <w:rPr>
          <w:rFonts w:ascii="Times New Roman" w:hAnsi="Times New Roman" w:cs="Times New Roman"/>
          <w:sz w:val="24"/>
        </w:rPr>
      </w:pPr>
      <w:r w:rsidRPr="00F23D9F">
        <w:rPr>
          <w:rFonts w:ascii="Times New Roman" w:hAnsi="Times New Roman" w:cs="Times New Roman"/>
          <w:sz w:val="24"/>
        </w:rPr>
        <w:t xml:space="preserve">To be effective at assisting stakeholders in the development of sustainable </w:t>
      </w:r>
      <w:r w:rsidR="00C544DE">
        <w:rPr>
          <w:rFonts w:ascii="Times New Roman" w:hAnsi="Times New Roman" w:cs="Times New Roman"/>
          <w:sz w:val="24"/>
        </w:rPr>
        <w:t>land-use</w:t>
      </w:r>
      <w:r w:rsidRPr="00F23D9F">
        <w:rPr>
          <w:rFonts w:ascii="Times New Roman" w:hAnsi="Times New Roman" w:cs="Times New Roman"/>
          <w:sz w:val="24"/>
        </w:rPr>
        <w:t xml:space="preserve"> plans, ALCES must be able to report on a broad suite of indicators (social, economic, ecological).</w:t>
      </w:r>
    </w:p>
    <w:p w:rsidR="009D5FFF" w:rsidRPr="00F23D9F" w:rsidRDefault="009D5FFF" w:rsidP="009D5FFF">
      <w:pPr>
        <w:pStyle w:val="ListParagraph"/>
        <w:numPr>
          <w:ilvl w:val="0"/>
          <w:numId w:val="22"/>
        </w:numPr>
        <w:autoSpaceDE w:val="0"/>
        <w:autoSpaceDN w:val="0"/>
        <w:adjustRightInd w:val="0"/>
        <w:ind w:left="360"/>
        <w:rPr>
          <w:rFonts w:ascii="Times New Roman" w:hAnsi="Times New Roman" w:cs="Times New Roman"/>
          <w:sz w:val="24"/>
        </w:rPr>
      </w:pPr>
      <w:r w:rsidRPr="00F23D9F">
        <w:rPr>
          <w:rFonts w:ascii="Times New Roman" w:hAnsi="Times New Roman" w:cs="Times New Roman"/>
          <w:sz w:val="24"/>
        </w:rPr>
        <w:lastRenderedPageBreak/>
        <w:t xml:space="preserve">Although the precise future is unknowable, exploration of the logical consequences of a plausible </w:t>
      </w:r>
      <w:r w:rsidR="00C544DE">
        <w:rPr>
          <w:rFonts w:ascii="Times New Roman" w:hAnsi="Times New Roman" w:cs="Times New Roman"/>
          <w:sz w:val="24"/>
        </w:rPr>
        <w:t>land-use</w:t>
      </w:r>
      <w:r w:rsidRPr="00F23D9F">
        <w:rPr>
          <w:rFonts w:ascii="Times New Roman" w:hAnsi="Times New Roman" w:cs="Times New Roman"/>
          <w:sz w:val="24"/>
        </w:rPr>
        <w:t xml:space="preserve"> scenario allows managers and regulators to better identify management strategies that are consistent with societal objectives.</w:t>
      </w:r>
    </w:p>
    <w:p w:rsidR="009D5FFF" w:rsidRPr="004C0A97" w:rsidRDefault="009D5FFF" w:rsidP="009D5FFF">
      <w:pPr>
        <w:autoSpaceDE w:val="0"/>
        <w:autoSpaceDN w:val="0"/>
        <w:adjustRightInd w:val="0"/>
        <w:rPr>
          <w:rFonts w:eastAsiaTheme="minorHAnsi"/>
        </w:rPr>
      </w:pPr>
      <w:r w:rsidRPr="004C0A97">
        <w:rPr>
          <w:rFonts w:eastAsiaTheme="minorHAnsi"/>
        </w:rPr>
        <w:t xml:space="preserve">ALCES utilizes a spatially stratified approach to tracking </w:t>
      </w:r>
      <w:r w:rsidR="00C544DE">
        <w:rPr>
          <w:rFonts w:eastAsiaTheme="minorHAnsi"/>
        </w:rPr>
        <w:t>land-use</w:t>
      </w:r>
      <w:r w:rsidRPr="004C0A97">
        <w:rPr>
          <w:rFonts w:eastAsiaTheme="minorHAnsi"/>
        </w:rPr>
        <w:t xml:space="preserve"> activities and natural</w:t>
      </w:r>
      <w:r>
        <w:rPr>
          <w:rFonts w:eastAsiaTheme="minorHAnsi"/>
        </w:rPr>
        <w:t xml:space="preserve"> </w:t>
      </w:r>
      <w:r w:rsidRPr="004C0A97">
        <w:rPr>
          <w:rFonts w:eastAsiaTheme="minorHAnsi"/>
        </w:rPr>
        <w:t>disturbance regimes. The model stratifies landscapes based on up to 20 user-defined</w:t>
      </w:r>
      <w:r>
        <w:rPr>
          <w:rFonts w:eastAsiaTheme="minorHAnsi"/>
        </w:rPr>
        <w:t xml:space="preserve"> </w:t>
      </w:r>
      <w:r w:rsidRPr="004C0A97">
        <w:rPr>
          <w:rFonts w:eastAsiaTheme="minorHAnsi"/>
        </w:rPr>
        <w:t>‘landscape types’ and up to 15 user-defined ‘</w:t>
      </w:r>
      <w:r w:rsidR="00C544DE">
        <w:rPr>
          <w:rFonts w:eastAsiaTheme="minorHAnsi"/>
        </w:rPr>
        <w:t>land-use</w:t>
      </w:r>
      <w:r w:rsidRPr="004C0A97">
        <w:rPr>
          <w:rFonts w:eastAsiaTheme="minorHAnsi"/>
        </w:rPr>
        <w:t xml:space="preserve"> footprints’. Although ALCES</w:t>
      </w:r>
      <w:r>
        <w:rPr>
          <w:rFonts w:eastAsiaTheme="minorHAnsi"/>
        </w:rPr>
        <w:t xml:space="preserve"> </w:t>
      </w:r>
      <w:r w:rsidRPr="004C0A97">
        <w:rPr>
          <w:rFonts w:eastAsiaTheme="minorHAnsi"/>
        </w:rPr>
        <w:t>tracks footprint</w:t>
      </w:r>
      <w:r w:rsidR="00DD6A63">
        <w:rPr>
          <w:rFonts w:eastAsiaTheme="minorHAnsi"/>
        </w:rPr>
        <w:t>s</w:t>
      </w:r>
      <w:r w:rsidRPr="004C0A97">
        <w:rPr>
          <w:rFonts w:eastAsiaTheme="minorHAnsi"/>
        </w:rPr>
        <w:t xml:space="preserve"> within each landscape type separately, it does not track the explicit</w:t>
      </w:r>
      <w:r>
        <w:rPr>
          <w:rFonts w:eastAsiaTheme="minorHAnsi"/>
        </w:rPr>
        <w:t xml:space="preserve"> </w:t>
      </w:r>
      <w:r w:rsidRPr="004C0A97">
        <w:rPr>
          <w:rFonts w:eastAsiaTheme="minorHAnsi"/>
        </w:rPr>
        <w:t>geographic location of these features (e.g., latitude and longitude). This modelling</w:t>
      </w:r>
      <w:r>
        <w:rPr>
          <w:rFonts w:eastAsiaTheme="minorHAnsi"/>
        </w:rPr>
        <w:t xml:space="preserve"> </w:t>
      </w:r>
      <w:r w:rsidRPr="004C0A97">
        <w:rPr>
          <w:rFonts w:eastAsiaTheme="minorHAnsi"/>
        </w:rPr>
        <w:t>approach greatly speeds up processing time (less than 1 second per simulation year)</w:t>
      </w:r>
      <w:r>
        <w:rPr>
          <w:rFonts w:eastAsiaTheme="minorHAnsi"/>
        </w:rPr>
        <w:t xml:space="preserve"> </w:t>
      </w:r>
      <w:r w:rsidRPr="004C0A97">
        <w:rPr>
          <w:rFonts w:eastAsiaTheme="minorHAnsi"/>
        </w:rPr>
        <w:t>relative to a spatially explicit modelling approach, and makes it possible to simulate</w:t>
      </w:r>
      <w:r>
        <w:rPr>
          <w:rFonts w:eastAsiaTheme="minorHAnsi"/>
        </w:rPr>
        <w:t xml:space="preserve"> </w:t>
      </w:r>
      <w:r w:rsidRPr="004C0A97">
        <w:rPr>
          <w:rFonts w:eastAsiaTheme="minorHAnsi"/>
        </w:rPr>
        <w:t xml:space="preserve">complex scenarios involving numerous overlapping </w:t>
      </w:r>
      <w:r w:rsidR="00C544DE">
        <w:rPr>
          <w:rFonts w:eastAsiaTheme="minorHAnsi"/>
        </w:rPr>
        <w:t>land-use</w:t>
      </w:r>
      <w:r w:rsidRPr="004C0A97">
        <w:rPr>
          <w:rFonts w:eastAsiaTheme="minorHAnsi"/>
        </w:rPr>
        <w:t>s and footprints.</w:t>
      </w:r>
    </w:p>
    <w:p w:rsidR="009D5FFF" w:rsidRPr="004C0A97" w:rsidRDefault="009D5FFF" w:rsidP="009D5FFF">
      <w:pPr>
        <w:autoSpaceDE w:val="0"/>
        <w:autoSpaceDN w:val="0"/>
        <w:adjustRightInd w:val="0"/>
        <w:rPr>
          <w:rFonts w:eastAsiaTheme="minorHAnsi"/>
        </w:rPr>
      </w:pPr>
    </w:p>
    <w:p w:rsidR="009D5FFF" w:rsidRPr="00682470" w:rsidRDefault="009D5FFF" w:rsidP="009D5FFF">
      <w:pPr>
        <w:autoSpaceDE w:val="0"/>
        <w:autoSpaceDN w:val="0"/>
        <w:adjustRightInd w:val="0"/>
        <w:rPr>
          <w:rFonts w:eastAsiaTheme="minorHAnsi"/>
        </w:rPr>
      </w:pPr>
      <w:r w:rsidRPr="004C0A97">
        <w:rPr>
          <w:rFonts w:eastAsiaTheme="minorHAnsi"/>
        </w:rPr>
        <w:t xml:space="preserve">A schematic showing the main types of ALCES inputs and outputs is provided in </w:t>
      </w:r>
      <w:r w:rsidR="00575CA7">
        <w:rPr>
          <w:rFonts w:eastAsiaTheme="minorHAnsi"/>
        </w:rPr>
        <w:fldChar w:fldCharType="begin"/>
      </w:r>
      <w:r>
        <w:rPr>
          <w:rFonts w:eastAsiaTheme="minorHAnsi"/>
        </w:rPr>
        <w:instrText xml:space="preserve"> REF _Ref325832698 \h </w:instrText>
      </w:r>
      <w:r w:rsidR="00575CA7">
        <w:rPr>
          <w:rFonts w:eastAsiaTheme="minorHAnsi"/>
        </w:rPr>
      </w:r>
      <w:r w:rsidR="00575CA7">
        <w:rPr>
          <w:rFonts w:eastAsiaTheme="minorHAnsi"/>
        </w:rPr>
        <w:fldChar w:fldCharType="separate"/>
      </w:r>
      <w:r w:rsidR="003648B8">
        <w:t xml:space="preserve">Figure </w:t>
      </w:r>
      <w:r w:rsidR="003648B8">
        <w:rPr>
          <w:noProof/>
        </w:rPr>
        <w:t>23</w:t>
      </w:r>
      <w:r w:rsidR="00575CA7">
        <w:rPr>
          <w:rFonts w:eastAsiaTheme="minorHAnsi"/>
        </w:rPr>
        <w:fldChar w:fldCharType="end"/>
      </w:r>
      <w:r>
        <w:rPr>
          <w:rFonts w:eastAsiaTheme="minorHAnsi"/>
        </w:rPr>
        <w:t>.</w:t>
      </w:r>
    </w:p>
    <w:p w:rsidR="009D5FFF" w:rsidRDefault="009D5FFF" w:rsidP="009D5FFF">
      <w:pPr>
        <w:autoSpaceDE w:val="0"/>
        <w:autoSpaceDN w:val="0"/>
        <w:adjustRightInd w:val="0"/>
        <w:rPr>
          <w:rFonts w:eastAsiaTheme="minorHAnsi"/>
        </w:rPr>
      </w:pPr>
    </w:p>
    <w:p w:rsidR="009D5FFF" w:rsidRDefault="009D5FFF" w:rsidP="009D5FFF">
      <w:pPr>
        <w:autoSpaceDE w:val="0"/>
        <w:autoSpaceDN w:val="0"/>
        <w:adjustRightInd w:val="0"/>
        <w:rPr>
          <w:rFonts w:eastAsiaTheme="minorHAnsi"/>
        </w:rPr>
      </w:pPr>
      <w:r>
        <w:rPr>
          <w:rFonts w:eastAsiaTheme="minorHAnsi"/>
        </w:rPr>
        <w:t xml:space="preserve">The underlying structure of the ALCES model is depicted in </w:t>
      </w:r>
      <w:r w:rsidR="00575CA7">
        <w:rPr>
          <w:rFonts w:eastAsiaTheme="minorHAnsi"/>
          <w:highlight w:val="yellow"/>
        </w:rPr>
        <w:fldChar w:fldCharType="begin"/>
      </w:r>
      <w:r>
        <w:rPr>
          <w:rFonts w:eastAsiaTheme="minorHAnsi"/>
        </w:rPr>
        <w:instrText xml:space="preserve"> REF _Ref325834032 \h </w:instrText>
      </w:r>
      <w:r w:rsidR="00575CA7">
        <w:rPr>
          <w:rFonts w:eastAsiaTheme="minorHAnsi"/>
          <w:highlight w:val="yellow"/>
        </w:rPr>
      </w:r>
      <w:r w:rsidR="00575CA7">
        <w:rPr>
          <w:rFonts w:eastAsiaTheme="minorHAnsi"/>
          <w:highlight w:val="yellow"/>
        </w:rPr>
        <w:fldChar w:fldCharType="separate"/>
      </w:r>
      <w:r w:rsidR="003648B8">
        <w:t xml:space="preserve">Figure </w:t>
      </w:r>
      <w:r w:rsidR="003648B8">
        <w:rPr>
          <w:noProof/>
        </w:rPr>
        <w:t>24</w:t>
      </w:r>
      <w:r w:rsidR="00575CA7">
        <w:rPr>
          <w:rFonts w:eastAsiaTheme="minorHAnsi"/>
          <w:highlight w:val="yellow"/>
        </w:rPr>
        <w:fldChar w:fldCharType="end"/>
      </w:r>
      <w:r w:rsidR="00A229D1">
        <w:rPr>
          <w:rFonts w:eastAsiaTheme="minorHAnsi"/>
        </w:rPr>
        <w:t xml:space="preserve"> and </w:t>
      </w:r>
      <w:r w:rsidR="00575CA7">
        <w:rPr>
          <w:rFonts w:eastAsiaTheme="minorHAnsi"/>
          <w:highlight w:val="yellow"/>
        </w:rPr>
        <w:fldChar w:fldCharType="begin"/>
      </w:r>
      <w:r w:rsidR="00A229D1">
        <w:rPr>
          <w:rFonts w:eastAsiaTheme="minorHAnsi"/>
        </w:rPr>
        <w:instrText xml:space="preserve"> REF _Ref326236886 \h </w:instrText>
      </w:r>
      <w:r w:rsidR="00575CA7">
        <w:rPr>
          <w:rFonts w:eastAsiaTheme="minorHAnsi"/>
          <w:highlight w:val="yellow"/>
        </w:rPr>
      </w:r>
      <w:r w:rsidR="00575CA7">
        <w:rPr>
          <w:rFonts w:eastAsiaTheme="minorHAnsi"/>
          <w:highlight w:val="yellow"/>
        </w:rPr>
        <w:fldChar w:fldCharType="separate"/>
      </w:r>
      <w:r w:rsidR="003648B8">
        <w:t xml:space="preserve">Figure </w:t>
      </w:r>
      <w:r w:rsidR="003648B8">
        <w:rPr>
          <w:noProof/>
        </w:rPr>
        <w:t>25</w:t>
      </w:r>
      <w:r w:rsidR="00575CA7">
        <w:rPr>
          <w:rFonts w:eastAsiaTheme="minorHAnsi"/>
          <w:highlight w:val="yellow"/>
        </w:rPr>
        <w:fldChar w:fldCharType="end"/>
      </w:r>
      <w:r>
        <w:rPr>
          <w:rFonts w:eastAsiaTheme="minorHAnsi"/>
        </w:rPr>
        <w:t xml:space="preserve">. For each </w:t>
      </w:r>
      <w:r w:rsidR="00C544DE">
        <w:rPr>
          <w:rFonts w:eastAsiaTheme="minorHAnsi"/>
        </w:rPr>
        <w:t>land-use</w:t>
      </w:r>
      <w:r>
        <w:rPr>
          <w:rFonts w:eastAsiaTheme="minorHAnsi"/>
        </w:rPr>
        <w:t xml:space="preserve"> operating in a region, the user defines past and future development rates, the portion of the landscape available for development, and management practices such as the intensity and lifespan of associated industrial footprints. Average rates and ranges of precipitation, temperature, fire, and insect outbreak must also be defined to simulate natural processes.</w:t>
      </w:r>
    </w:p>
    <w:p w:rsidR="009D5FFF" w:rsidRDefault="009D5FFF" w:rsidP="009D5FFF">
      <w:pPr>
        <w:autoSpaceDE w:val="0"/>
        <w:autoSpaceDN w:val="0"/>
        <w:adjustRightInd w:val="0"/>
        <w:rPr>
          <w:rFonts w:eastAsiaTheme="minorHAnsi"/>
        </w:rPr>
      </w:pPr>
      <w:r>
        <w:rPr>
          <w:rFonts w:eastAsiaTheme="minorHAnsi"/>
        </w:rPr>
        <w:t>A hydrological model tracks the consequences of precipitation, runoff, evapotranspiration, infiltration, inflow, outflow and water use to standing water, flowing water, and groundwater. Forest succession is represented by changes in plant biomass,</w:t>
      </w:r>
      <w:r w:rsidRPr="00191476">
        <w:rPr>
          <w:rFonts w:eastAsiaTheme="minorHAnsi"/>
        </w:rPr>
        <w:t xml:space="preserve"> </w:t>
      </w:r>
      <w:r>
        <w:rPr>
          <w:rFonts w:eastAsiaTheme="minorHAnsi"/>
        </w:rPr>
        <w:t>composition, and structure with time since disturbance. Climate change effects can be incorporated by defining temporal changes in natural disturbances rates, successional trajectories, land cover, meteorology, and hydrology.</w:t>
      </w:r>
    </w:p>
    <w:p w:rsidR="009D5FFF" w:rsidRDefault="009D5FFF" w:rsidP="009D5FFF">
      <w:pPr>
        <w:autoSpaceDE w:val="0"/>
        <w:autoSpaceDN w:val="0"/>
        <w:adjustRightInd w:val="0"/>
        <w:rPr>
          <w:rFonts w:eastAsiaTheme="minorHAnsi"/>
        </w:rPr>
      </w:pPr>
    </w:p>
    <w:p w:rsidR="009D5FFF" w:rsidRDefault="009D5FFF" w:rsidP="009D5FFF">
      <w:pPr>
        <w:autoSpaceDE w:val="0"/>
        <w:autoSpaceDN w:val="0"/>
        <w:adjustRightInd w:val="0"/>
        <w:rPr>
          <w:rFonts w:eastAsiaTheme="minorHAnsi"/>
        </w:rPr>
      </w:pPr>
      <w:r>
        <w:rPr>
          <w:rFonts w:eastAsiaTheme="minorHAnsi"/>
        </w:rPr>
        <w:t>The first-order effects tracked by ALCES are landscape composition and resource production/supply. Using an annual time-step (although monthly time steps can be used for the meteorology module) the model calculates changes in the area and length of ea</w:t>
      </w:r>
      <w:r w:rsidR="00836B4C">
        <w:rPr>
          <w:rFonts w:eastAsiaTheme="minorHAnsi"/>
        </w:rPr>
        <w:t>ch landscape and footprint type</w:t>
      </w:r>
      <w:r>
        <w:rPr>
          <w:rFonts w:eastAsiaTheme="minorHAnsi"/>
        </w:rPr>
        <w:t xml:space="preserve"> in response to natural processes and disturbance</w:t>
      </w:r>
      <w:r w:rsidR="0068131E">
        <w:rPr>
          <w:rFonts w:eastAsiaTheme="minorHAnsi"/>
        </w:rPr>
        <w:t>s</w:t>
      </w:r>
      <w:r>
        <w:rPr>
          <w:rFonts w:eastAsiaTheme="minorHAnsi"/>
        </w:rPr>
        <w:t xml:space="preserve">, landscape conversion, reclamation of footprints, and creation of new footprints associated with simulated </w:t>
      </w:r>
      <w:r w:rsidR="00C544DE">
        <w:rPr>
          <w:rFonts w:eastAsiaTheme="minorHAnsi"/>
        </w:rPr>
        <w:t>land-use</w:t>
      </w:r>
      <w:r>
        <w:rPr>
          <w:rFonts w:eastAsiaTheme="minorHAnsi"/>
        </w:rPr>
        <w:t xml:space="preserve"> trajectories. ALCES also tracks resource production and supply using approaches that are typical of sector-specific models such as forestry timber supply models and the Hubbert-Naill life cycle approach for simulating exploitation of hydrocarbon deposits (Naill 1973). By tracking resource supply, ALCES can reduce or stop the expansion of a </w:t>
      </w:r>
      <w:r w:rsidR="00C544DE">
        <w:rPr>
          <w:rFonts w:eastAsiaTheme="minorHAnsi"/>
        </w:rPr>
        <w:t>land-use</w:t>
      </w:r>
      <w:r>
        <w:rPr>
          <w:rFonts w:eastAsiaTheme="minorHAnsi"/>
        </w:rPr>
        <w:t xml:space="preserve"> if resource supply becomes inadequate. Changes to water quantity are also tracked by applying water use coefficients associated with each </w:t>
      </w:r>
      <w:r w:rsidR="00C544DE">
        <w:rPr>
          <w:rFonts w:eastAsiaTheme="minorHAnsi"/>
        </w:rPr>
        <w:t>land-use</w:t>
      </w:r>
      <w:r>
        <w:rPr>
          <w:rFonts w:eastAsiaTheme="minorHAnsi"/>
        </w:rPr>
        <w:t>.</w:t>
      </w:r>
    </w:p>
    <w:p w:rsidR="009D5FFF" w:rsidRDefault="009D5FFF" w:rsidP="009D5FFF">
      <w:pPr>
        <w:autoSpaceDE w:val="0"/>
        <w:autoSpaceDN w:val="0"/>
        <w:adjustRightInd w:val="0"/>
        <w:rPr>
          <w:rFonts w:eastAsiaTheme="minorHAnsi"/>
        </w:rPr>
      </w:pPr>
    </w:p>
    <w:p w:rsidR="009D5FFF" w:rsidRDefault="009D5FFF" w:rsidP="009D5FFF">
      <w:pPr>
        <w:autoSpaceDE w:val="0"/>
        <w:autoSpaceDN w:val="0"/>
        <w:adjustRightInd w:val="0"/>
        <w:rPr>
          <w:rFonts w:eastAsiaTheme="minorHAnsi"/>
        </w:rPr>
      </w:pPr>
      <w:r>
        <w:rPr>
          <w:rFonts w:eastAsiaTheme="minorHAnsi"/>
        </w:rPr>
        <w:t>Landscape condition and resource production attributes are translated into indicator variables using coefficients. A wide range of indicators are available so that trade-offs between diverse ecological and socio-economic objectives can be assessed. Types of indicators that can be tracked by ALCES inclu</w:t>
      </w:r>
      <w:r w:rsidR="0068131E">
        <w:rPr>
          <w:rFonts w:eastAsiaTheme="minorHAnsi"/>
        </w:rPr>
        <w:t>de: water quality and quantity, employment, gross domestic product, biotic carbon storage, air emissions,</w:t>
      </w:r>
      <w:r>
        <w:rPr>
          <w:rFonts w:eastAsiaTheme="minorHAnsi"/>
        </w:rPr>
        <w:t xml:space="preserve"> w</w:t>
      </w:r>
      <w:r w:rsidR="0068131E">
        <w:rPr>
          <w:rFonts w:eastAsiaTheme="minorHAnsi"/>
        </w:rPr>
        <w:t>ildlife habitat and populations,</w:t>
      </w:r>
      <w:r>
        <w:rPr>
          <w:rFonts w:eastAsiaTheme="minorHAnsi"/>
        </w:rPr>
        <w:t xml:space="preserve"> and social indicators such as family income and educational attainment.</w:t>
      </w:r>
    </w:p>
    <w:p w:rsidR="009D5FFF" w:rsidRDefault="009D5FFF" w:rsidP="009D5FFF">
      <w:pPr>
        <w:autoSpaceDE w:val="0"/>
        <w:autoSpaceDN w:val="0"/>
        <w:adjustRightInd w:val="0"/>
        <w:rPr>
          <w:rFonts w:eastAsiaTheme="minorHAnsi"/>
        </w:rPr>
      </w:pPr>
    </w:p>
    <w:p w:rsidR="009D5FFF" w:rsidRDefault="009D5FFF" w:rsidP="009D5FFF">
      <w:pPr>
        <w:autoSpaceDE w:val="0"/>
        <w:autoSpaceDN w:val="0"/>
        <w:adjustRightInd w:val="0"/>
        <w:rPr>
          <w:rFonts w:eastAsiaTheme="minorHAnsi"/>
        </w:rPr>
      </w:pPr>
      <w:r>
        <w:rPr>
          <w:rFonts w:eastAsiaTheme="minorHAnsi"/>
        </w:rPr>
        <w:t xml:space="preserve">Many variables act as ‘drivers’ of landscape change, with some potentially having a more significant effect than others. Through the evaluation of indicators, the relative influence of </w:t>
      </w:r>
      <w:r w:rsidR="00C544DE">
        <w:rPr>
          <w:rFonts w:eastAsiaTheme="minorHAnsi"/>
        </w:rPr>
        <w:t>land-use</w:t>
      </w:r>
      <w:r>
        <w:rPr>
          <w:rFonts w:eastAsiaTheme="minorHAnsi"/>
        </w:rPr>
        <w:t xml:space="preserve"> activities and practices (e.g., residential, military, agricultural, energy, or recreation), natural disturbance regimes (e.g., fire or floods), and climatic effects (e.g., climate change) may be isolated and examined. In this manner, ALCES provides a framework for evaluating the significance of different natural and human </w:t>
      </w:r>
      <w:r w:rsidR="00C544DE">
        <w:rPr>
          <w:rFonts w:eastAsiaTheme="minorHAnsi"/>
        </w:rPr>
        <w:t>land-use</w:t>
      </w:r>
      <w:r>
        <w:rPr>
          <w:rFonts w:eastAsiaTheme="minorHAnsi"/>
        </w:rPr>
        <w:t xml:space="preserve"> factors.</w:t>
      </w:r>
    </w:p>
    <w:p w:rsidR="001F7033" w:rsidRDefault="001F7033" w:rsidP="009D5FFF">
      <w:pPr>
        <w:autoSpaceDE w:val="0"/>
        <w:autoSpaceDN w:val="0"/>
        <w:adjustRightInd w:val="0"/>
        <w:rPr>
          <w:rFonts w:eastAsiaTheme="minorHAnsi"/>
        </w:rPr>
      </w:pPr>
    </w:p>
    <w:p w:rsidR="001F7033" w:rsidRDefault="001F7033" w:rsidP="009D5FFF">
      <w:pPr>
        <w:autoSpaceDE w:val="0"/>
        <w:autoSpaceDN w:val="0"/>
        <w:adjustRightInd w:val="0"/>
        <w:rPr>
          <w:rFonts w:eastAsiaTheme="minorHAnsi"/>
        </w:rPr>
      </w:pPr>
    </w:p>
    <w:p w:rsidR="001F7033" w:rsidRDefault="001F7033" w:rsidP="009D5FFF">
      <w:pPr>
        <w:autoSpaceDE w:val="0"/>
        <w:autoSpaceDN w:val="0"/>
        <w:adjustRightInd w:val="0"/>
        <w:rPr>
          <w:rFonts w:eastAsiaTheme="minorHAnsi"/>
        </w:rPr>
      </w:pPr>
    </w:p>
    <w:p w:rsidR="001F7033" w:rsidRDefault="001F7033" w:rsidP="009D5FFF">
      <w:pPr>
        <w:autoSpaceDE w:val="0"/>
        <w:autoSpaceDN w:val="0"/>
        <w:adjustRightInd w:val="0"/>
        <w:rPr>
          <w:rFonts w:eastAsiaTheme="minorHAnsi"/>
        </w:rPr>
      </w:pPr>
    </w:p>
    <w:p w:rsidR="001F7033" w:rsidRDefault="001F7033" w:rsidP="009D5FFF">
      <w:pPr>
        <w:autoSpaceDE w:val="0"/>
        <w:autoSpaceDN w:val="0"/>
        <w:adjustRightInd w:val="0"/>
        <w:rPr>
          <w:rFonts w:eastAsiaTheme="minorHAnsi"/>
        </w:rPr>
      </w:pPr>
    </w:p>
    <w:p w:rsidR="001F7033" w:rsidRDefault="001F7033" w:rsidP="009D5FFF">
      <w:pPr>
        <w:autoSpaceDE w:val="0"/>
        <w:autoSpaceDN w:val="0"/>
        <w:adjustRightInd w:val="0"/>
        <w:rPr>
          <w:rFonts w:eastAsiaTheme="minorHAnsi"/>
        </w:rPr>
      </w:pPr>
    </w:p>
    <w:p w:rsidR="001F7033" w:rsidRDefault="001F7033" w:rsidP="009D5FFF">
      <w:pPr>
        <w:autoSpaceDE w:val="0"/>
        <w:autoSpaceDN w:val="0"/>
        <w:adjustRightInd w:val="0"/>
        <w:rPr>
          <w:rFonts w:eastAsiaTheme="minorHAnsi"/>
        </w:rPr>
      </w:pPr>
    </w:p>
    <w:p w:rsidR="001F7033" w:rsidRDefault="001F7033" w:rsidP="009D5FFF">
      <w:pPr>
        <w:autoSpaceDE w:val="0"/>
        <w:autoSpaceDN w:val="0"/>
        <w:adjustRightInd w:val="0"/>
        <w:rPr>
          <w:rFonts w:eastAsiaTheme="minorHAnsi"/>
        </w:rPr>
      </w:pPr>
    </w:p>
    <w:p w:rsidR="001F7033" w:rsidRDefault="001F7033" w:rsidP="009D5FFF">
      <w:pPr>
        <w:autoSpaceDE w:val="0"/>
        <w:autoSpaceDN w:val="0"/>
        <w:adjustRightInd w:val="0"/>
        <w:rPr>
          <w:rFonts w:eastAsiaTheme="minorHAnsi"/>
        </w:rPr>
      </w:pPr>
    </w:p>
    <w:p w:rsidR="001F7033" w:rsidRDefault="001F7033" w:rsidP="009D5FFF">
      <w:pPr>
        <w:autoSpaceDE w:val="0"/>
        <w:autoSpaceDN w:val="0"/>
        <w:adjustRightInd w:val="0"/>
        <w:rPr>
          <w:rFonts w:eastAsiaTheme="minorHAnsi"/>
        </w:rPr>
      </w:pPr>
    </w:p>
    <w:p w:rsidR="001F7033" w:rsidRDefault="001F7033" w:rsidP="009D5FFF">
      <w:pPr>
        <w:autoSpaceDE w:val="0"/>
        <w:autoSpaceDN w:val="0"/>
        <w:adjustRightInd w:val="0"/>
        <w:rPr>
          <w:rFonts w:eastAsiaTheme="minorHAnsi"/>
        </w:rPr>
      </w:pPr>
    </w:p>
    <w:p w:rsidR="001F7033" w:rsidRDefault="001F7033" w:rsidP="009D5FFF">
      <w:pPr>
        <w:autoSpaceDE w:val="0"/>
        <w:autoSpaceDN w:val="0"/>
        <w:adjustRightInd w:val="0"/>
        <w:rPr>
          <w:rFonts w:eastAsiaTheme="minorHAnsi"/>
        </w:rPr>
      </w:pPr>
    </w:p>
    <w:p w:rsidR="009D5FFF" w:rsidRDefault="009D5FFF" w:rsidP="009D5FFF">
      <w:pPr>
        <w:autoSpaceDE w:val="0"/>
        <w:autoSpaceDN w:val="0"/>
        <w:adjustRightInd w:val="0"/>
        <w:rPr>
          <w:rFonts w:eastAsiaTheme="minorHAnsi"/>
        </w:rPr>
      </w:pPr>
    </w:p>
    <w:p w:rsidR="009D5FFF" w:rsidRDefault="009D5FFF" w:rsidP="009D5FFF">
      <w:pPr>
        <w:autoSpaceDE w:val="0"/>
        <w:autoSpaceDN w:val="0"/>
        <w:adjustRightInd w:val="0"/>
        <w:rPr>
          <w:rFonts w:eastAsiaTheme="minorHAnsi"/>
        </w:rPr>
      </w:pPr>
    </w:p>
    <w:p w:rsidR="009D5FFF" w:rsidRDefault="009D5FFF" w:rsidP="009D5FFF">
      <w:pPr>
        <w:keepNext/>
        <w:autoSpaceDE w:val="0"/>
        <w:autoSpaceDN w:val="0"/>
        <w:adjustRightInd w:val="0"/>
      </w:pPr>
      <w:r>
        <w:rPr>
          <w:rFonts w:eastAsiaTheme="minorHAnsi"/>
          <w:noProof/>
          <w:lang w:val="en-US"/>
        </w:rPr>
        <w:drawing>
          <wp:inline distT="0" distB="0" distL="0" distR="0">
            <wp:extent cx="4791186" cy="3600000"/>
            <wp:effectExtent l="19050" t="19050" r="28464" b="19500"/>
            <wp:docPr id="6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5" cstate="print"/>
                    <a:srcRect/>
                    <a:stretch>
                      <a:fillRect/>
                    </a:stretch>
                  </pic:blipFill>
                  <pic:spPr bwMode="auto">
                    <a:xfrm>
                      <a:off x="0" y="0"/>
                      <a:ext cx="4791186"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9D5FFF" w:rsidRDefault="009D5FFF" w:rsidP="009D5FFF">
      <w:pPr>
        <w:pStyle w:val="Caption"/>
        <w:rPr>
          <w:rFonts w:ascii="Arial" w:eastAsiaTheme="minorHAnsi" w:hAnsi="Arial" w:cs="Arial"/>
        </w:rPr>
      </w:pPr>
      <w:bookmarkStart w:id="64" w:name="_Ref325832698"/>
      <w:bookmarkStart w:id="65" w:name="_Toc338703803"/>
      <w:proofErr w:type="gramStart"/>
      <w:r>
        <w:t xml:space="preserve">Figure </w:t>
      </w:r>
      <w:r w:rsidR="00575CA7">
        <w:fldChar w:fldCharType="begin"/>
      </w:r>
      <w:r w:rsidR="009D7DD3">
        <w:instrText xml:space="preserve"> SEQ Figure \* ARABIC </w:instrText>
      </w:r>
      <w:r w:rsidR="00575CA7">
        <w:fldChar w:fldCharType="separate"/>
      </w:r>
      <w:r w:rsidR="00A02D22">
        <w:rPr>
          <w:noProof/>
        </w:rPr>
        <w:t>23</w:t>
      </w:r>
      <w:r w:rsidR="00575CA7">
        <w:fldChar w:fldCharType="end"/>
      </w:r>
      <w:bookmarkEnd w:id="64"/>
      <w:r>
        <w:t>.</w:t>
      </w:r>
      <w:proofErr w:type="gramEnd"/>
      <w:r>
        <w:t xml:space="preserve"> </w:t>
      </w:r>
      <w:r w:rsidRPr="00721193">
        <w:rPr>
          <w:rFonts w:eastAsiaTheme="minorHAnsi"/>
        </w:rPr>
        <w:t>Schematic summarizing ALCES model inputs and outputs</w:t>
      </w:r>
      <w:r>
        <w:rPr>
          <w:rFonts w:ascii="Arial" w:eastAsiaTheme="minorHAnsi" w:hAnsi="Arial" w:cs="Arial"/>
        </w:rPr>
        <w:t>.</w:t>
      </w:r>
      <w:bookmarkEnd w:id="65"/>
    </w:p>
    <w:p w:rsidR="009D5FFF" w:rsidRPr="00682470" w:rsidRDefault="009D5FFF" w:rsidP="009D5FFF">
      <w:pPr>
        <w:rPr>
          <w:rFonts w:eastAsiaTheme="minorHAnsi"/>
          <w:lang w:eastAsia="en-CA"/>
        </w:rPr>
      </w:pPr>
    </w:p>
    <w:p w:rsidR="009D5FFF" w:rsidRDefault="009D5FFF" w:rsidP="009D5FFF">
      <w:pPr>
        <w:keepNext/>
        <w:autoSpaceDE w:val="0"/>
        <w:autoSpaceDN w:val="0"/>
        <w:adjustRightInd w:val="0"/>
      </w:pPr>
      <w:r>
        <w:rPr>
          <w:rFonts w:eastAsiaTheme="minorHAnsi"/>
          <w:noProof/>
          <w:lang w:val="en-US"/>
        </w:rPr>
        <w:lastRenderedPageBreak/>
        <w:drawing>
          <wp:inline distT="0" distB="0" distL="0" distR="0">
            <wp:extent cx="4779708" cy="3600000"/>
            <wp:effectExtent l="19050" t="19050" r="20892" b="19500"/>
            <wp:docPr id="67"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6" cstate="print"/>
                    <a:srcRect/>
                    <a:stretch>
                      <a:fillRect/>
                    </a:stretch>
                  </pic:blipFill>
                  <pic:spPr bwMode="auto">
                    <a:xfrm>
                      <a:off x="0" y="0"/>
                      <a:ext cx="4779708"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9D5FFF" w:rsidRDefault="009D5FFF" w:rsidP="009D5FFF">
      <w:pPr>
        <w:pStyle w:val="Caption"/>
      </w:pPr>
      <w:bookmarkStart w:id="66" w:name="_Ref325834032"/>
      <w:bookmarkStart w:id="67" w:name="_Toc338703804"/>
      <w:proofErr w:type="gramStart"/>
      <w:r>
        <w:t xml:space="preserve">Figure </w:t>
      </w:r>
      <w:r w:rsidR="00575CA7">
        <w:fldChar w:fldCharType="begin"/>
      </w:r>
      <w:r w:rsidR="009D7DD3">
        <w:instrText xml:space="preserve"> SEQ Figure \* ARABIC </w:instrText>
      </w:r>
      <w:r w:rsidR="00575CA7">
        <w:fldChar w:fldCharType="separate"/>
      </w:r>
      <w:r w:rsidR="00A02D22">
        <w:rPr>
          <w:noProof/>
        </w:rPr>
        <w:t>24</w:t>
      </w:r>
      <w:r w:rsidR="00575CA7">
        <w:fldChar w:fldCharType="end"/>
      </w:r>
      <w:bookmarkEnd w:id="66"/>
      <w:r>
        <w:t>.</w:t>
      </w:r>
      <w:proofErr w:type="gramEnd"/>
      <w:r>
        <w:t xml:space="preserve">  </w:t>
      </w:r>
      <w:proofErr w:type="gramStart"/>
      <w:r>
        <w:t>Underlying structure of the CLFN SA ALCES dynamic landscape model.</w:t>
      </w:r>
      <w:bookmarkEnd w:id="67"/>
      <w:proofErr w:type="gramEnd"/>
    </w:p>
    <w:p w:rsidR="009D5FFF" w:rsidRDefault="009D5FFF" w:rsidP="009D5FFF">
      <w:pPr>
        <w:rPr>
          <w:rFonts w:eastAsiaTheme="minorHAnsi"/>
          <w:lang w:eastAsia="en-CA"/>
        </w:rPr>
      </w:pPr>
    </w:p>
    <w:p w:rsidR="009D5FFF" w:rsidRDefault="009D5FFF" w:rsidP="009D5FFF">
      <w:pPr>
        <w:rPr>
          <w:rFonts w:eastAsiaTheme="minorHAnsi"/>
          <w:lang w:eastAsia="en-CA"/>
        </w:rPr>
      </w:pPr>
    </w:p>
    <w:p w:rsidR="00E77828" w:rsidRPr="00682470" w:rsidRDefault="00E77828" w:rsidP="009D5FFF">
      <w:pPr>
        <w:rPr>
          <w:rFonts w:eastAsiaTheme="minorHAnsi"/>
          <w:lang w:eastAsia="en-CA"/>
        </w:rPr>
      </w:pPr>
    </w:p>
    <w:p w:rsidR="009D5FFF" w:rsidRDefault="009D5FFF" w:rsidP="009D5FFF">
      <w:pPr>
        <w:keepNext/>
        <w:autoSpaceDE w:val="0"/>
        <w:autoSpaceDN w:val="0"/>
        <w:adjustRightInd w:val="0"/>
      </w:pPr>
      <w:r>
        <w:rPr>
          <w:rFonts w:eastAsiaTheme="minorHAnsi"/>
          <w:noProof/>
          <w:lang w:val="en-US"/>
        </w:rPr>
        <w:drawing>
          <wp:inline distT="0" distB="0" distL="0" distR="0">
            <wp:extent cx="4790053" cy="3363438"/>
            <wp:effectExtent l="19050" t="0" r="0" b="0"/>
            <wp:docPr id="68"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7" cstate="print"/>
                    <a:srcRect/>
                    <a:stretch>
                      <a:fillRect/>
                    </a:stretch>
                  </pic:blipFill>
                  <pic:spPr bwMode="auto">
                    <a:xfrm>
                      <a:off x="0" y="0"/>
                      <a:ext cx="4805743" cy="3374455"/>
                    </a:xfrm>
                    <a:prstGeom prst="rect">
                      <a:avLst/>
                    </a:prstGeom>
                    <a:noFill/>
                    <a:ln w="9525">
                      <a:noFill/>
                      <a:miter lim="800000"/>
                      <a:headEnd/>
                      <a:tailEnd/>
                    </a:ln>
                  </pic:spPr>
                </pic:pic>
              </a:graphicData>
            </a:graphic>
          </wp:inline>
        </w:drawing>
      </w:r>
    </w:p>
    <w:p w:rsidR="009D5FFF" w:rsidRDefault="009D5FFF" w:rsidP="009D5FFF">
      <w:pPr>
        <w:pStyle w:val="Caption"/>
      </w:pPr>
      <w:bookmarkStart w:id="68" w:name="_Ref326236886"/>
      <w:bookmarkStart w:id="69" w:name="_Toc338703805"/>
      <w:proofErr w:type="gramStart"/>
      <w:r>
        <w:t xml:space="preserve">Figure </w:t>
      </w:r>
      <w:r w:rsidR="00575CA7">
        <w:fldChar w:fldCharType="begin"/>
      </w:r>
      <w:r w:rsidR="009D7DD3">
        <w:instrText xml:space="preserve"> SEQ Figure \* ARABIC </w:instrText>
      </w:r>
      <w:r w:rsidR="00575CA7">
        <w:fldChar w:fldCharType="separate"/>
      </w:r>
      <w:r w:rsidR="00A02D22">
        <w:rPr>
          <w:noProof/>
        </w:rPr>
        <w:t>25</w:t>
      </w:r>
      <w:r w:rsidR="00575CA7">
        <w:fldChar w:fldCharType="end"/>
      </w:r>
      <w:bookmarkEnd w:id="68"/>
      <w:r>
        <w:t>.</w:t>
      </w:r>
      <w:proofErr w:type="gramEnd"/>
      <w:r>
        <w:t xml:space="preserve"> </w:t>
      </w:r>
      <w:proofErr w:type="gramStart"/>
      <w:r>
        <w:t>Modular structure of the CLFN ALCES simulator.</w:t>
      </w:r>
      <w:bookmarkEnd w:id="69"/>
      <w:proofErr w:type="gramEnd"/>
    </w:p>
    <w:p w:rsidR="009D5FFF" w:rsidRPr="00D833D6" w:rsidRDefault="009D5FFF" w:rsidP="009D5FFF">
      <w:pPr>
        <w:rPr>
          <w:rFonts w:eastAsiaTheme="minorHAnsi"/>
          <w:lang w:eastAsia="en-CA"/>
        </w:rPr>
      </w:pPr>
    </w:p>
    <w:p w:rsidR="009D5FFF" w:rsidRDefault="009D5FFF" w:rsidP="009D5FFF">
      <w:pPr>
        <w:spacing w:after="200" w:line="276" w:lineRule="auto"/>
        <w:rPr>
          <w:rFonts w:ascii="Arial" w:hAnsi="Arial"/>
          <w:b/>
          <w:caps/>
          <w:kern w:val="28"/>
          <w:lang w:val="en-US"/>
        </w:rPr>
      </w:pPr>
      <w:r>
        <w:br w:type="page"/>
      </w:r>
    </w:p>
    <w:p w:rsidR="009D5FFF" w:rsidRDefault="009D5FFF" w:rsidP="009D5FFF">
      <w:pPr>
        <w:pStyle w:val="Heading2"/>
      </w:pPr>
      <w:bookmarkStart w:id="70" w:name="_Toc338703686"/>
      <w:r>
        <w:lastRenderedPageBreak/>
        <w:t>ALCES Mapper</w:t>
      </w:r>
      <w:bookmarkEnd w:id="70"/>
    </w:p>
    <w:p w:rsidR="009D5FFF" w:rsidRDefault="009D5FFF" w:rsidP="009D5FFF">
      <w:pPr>
        <w:pStyle w:val="BodyText"/>
      </w:pPr>
      <w:r w:rsidRPr="001E3259">
        <w:t>ALCES Mapper™ is the companion mapping application for the ALCES</w:t>
      </w:r>
      <w:r w:rsidRPr="008257E9">
        <w:rPr>
          <w:vertAlign w:val="superscript"/>
        </w:rPr>
        <w:t>®</w:t>
      </w:r>
      <w:r>
        <w:t xml:space="preserve"> model</w:t>
      </w:r>
      <w:r w:rsidRPr="001E3259">
        <w:t xml:space="preserve">.  </w:t>
      </w:r>
      <w:r>
        <w:t xml:space="preserve">As an ArcGIS extension, </w:t>
      </w:r>
      <w:r w:rsidRPr="001E3259">
        <w:t>ALCES Mapper</w:t>
      </w:r>
      <w:r w:rsidRPr="003157D0">
        <w:t>™</w:t>
      </w:r>
      <w:r w:rsidRPr="001E3259">
        <w:t xml:space="preserve"> generates maps illustrating the plausible location and extent of future </w:t>
      </w:r>
      <w:r w:rsidR="00C544DE">
        <w:t>land-use</w:t>
      </w:r>
      <w:r w:rsidRPr="001E3259">
        <w:t xml:space="preserve"> features and landscape types based on ALCES</w:t>
      </w:r>
      <w:r w:rsidRPr="008257E9">
        <w:rPr>
          <w:vertAlign w:val="superscript"/>
        </w:rPr>
        <w:t xml:space="preserve">® </w:t>
      </w:r>
      <w:r w:rsidRPr="008257E9">
        <w:t>outputs.  ALCES Mapper™ is capable of generating maps of landscape types, footprint types, forest age, disturbed area, and other derived indicators (e.g., caribou finite rate of population increase, oil and gas production, wildlife habitat quality, water demand, etc.)</w:t>
      </w:r>
      <w:r w:rsidR="00A229D1">
        <w:t xml:space="preserve"> as in </w:t>
      </w:r>
      <w:r w:rsidR="00575CA7">
        <w:fldChar w:fldCharType="begin"/>
      </w:r>
      <w:r w:rsidR="00A229D1">
        <w:instrText xml:space="preserve"> REF _Ref326237262 \h </w:instrText>
      </w:r>
      <w:r w:rsidR="00575CA7">
        <w:fldChar w:fldCharType="separate"/>
      </w:r>
      <w:r w:rsidR="003648B8">
        <w:t xml:space="preserve">Figure </w:t>
      </w:r>
      <w:r w:rsidR="003648B8">
        <w:rPr>
          <w:noProof/>
        </w:rPr>
        <w:t>26</w:t>
      </w:r>
      <w:r w:rsidR="00575CA7">
        <w:fldChar w:fldCharType="end"/>
      </w:r>
      <w:r w:rsidRPr="008257E9">
        <w:t>.</w:t>
      </w:r>
    </w:p>
    <w:p w:rsidR="009D5FFF" w:rsidRPr="000A7983" w:rsidRDefault="009D5FFF" w:rsidP="009D5FFF">
      <w:pPr>
        <w:pStyle w:val="BodyText"/>
      </w:pPr>
      <w:r w:rsidRPr="000A7983">
        <w:t xml:space="preserve">ALCES Mapper™ requires two primary inputs: 1) </w:t>
      </w:r>
      <w:r>
        <w:t>geographic information system (GIS)</w:t>
      </w:r>
      <w:r w:rsidRPr="000A7983">
        <w:t xml:space="preserve"> data quantifying the study area landscape type and footprint type composition and spatial distribution, and 2) output data from the ALCES</w:t>
      </w:r>
      <w:r w:rsidRPr="00432B27">
        <w:rPr>
          <w:vertAlign w:val="superscript"/>
        </w:rPr>
        <w:t>®</w:t>
      </w:r>
      <w:r w:rsidRPr="000A7983">
        <w:t xml:space="preserve"> model.  The same GIS data that </w:t>
      </w:r>
      <w:r>
        <w:t>are</w:t>
      </w:r>
      <w:r w:rsidRPr="000A7983">
        <w:t xml:space="preserve"> summarized for the purpose of populating the ALCES</w:t>
      </w:r>
      <w:r w:rsidRPr="003E6C59">
        <w:rPr>
          <w:vertAlign w:val="superscript"/>
        </w:rPr>
        <w:t>®</w:t>
      </w:r>
      <w:r w:rsidRPr="000A7983">
        <w:t xml:space="preserve"> model </w:t>
      </w:r>
      <w:r>
        <w:t>are</w:t>
      </w:r>
      <w:r w:rsidRPr="000A7983">
        <w:t xml:space="preserve"> used by ALCES Mapper™.  ALCES</w:t>
      </w:r>
      <w:r w:rsidRPr="00432B27">
        <w:rPr>
          <w:vertAlign w:val="superscript"/>
        </w:rPr>
        <w:t>®</w:t>
      </w:r>
      <w:r w:rsidRPr="000A7983">
        <w:t xml:space="preserve"> output data is provided in the form of a structured input table with multiple worksheets.  ALCES Mapper™ divides the study area into grid cells of user-defined size, and then calculates the landscape and footprint composition within each cell.  The rates and proportions of </w:t>
      </w:r>
      <w:r w:rsidR="00C544DE">
        <w:t>land-use</w:t>
      </w:r>
      <w:r w:rsidRPr="000A7983">
        <w:t xml:space="preserve"> features, landscape types, natural disturbances, commodity production and other variables as reported by ALCES</w:t>
      </w:r>
      <w:r w:rsidRPr="00432B27">
        <w:rPr>
          <w:vertAlign w:val="superscript"/>
        </w:rPr>
        <w:t>®</w:t>
      </w:r>
      <w:r w:rsidRPr="000A7983">
        <w:t xml:space="preserve"> are then applied to each cell, tracked, and displayed spatially by ALCES Mapper™.</w:t>
      </w:r>
    </w:p>
    <w:p w:rsidR="009D5FFF" w:rsidRDefault="009D5FFF" w:rsidP="009D5FFF">
      <w:pPr>
        <w:pStyle w:val="BodyText"/>
      </w:pPr>
      <w:r w:rsidRPr="000A7983">
        <w:t xml:space="preserve">The frequency and reporting interval of the ALCES Mapper™ outputs (i.e., time-steps) is user-defined. </w:t>
      </w:r>
      <w:r>
        <w:t xml:space="preserve"> </w:t>
      </w:r>
      <w:r w:rsidRPr="000A7983">
        <w:t xml:space="preserve">Additionally, ALCES Mapper™ allows users to specify the general location (i.e., where specified </w:t>
      </w:r>
      <w:r w:rsidR="00C544DE">
        <w:t>land-use</w:t>
      </w:r>
      <w:r w:rsidRPr="000A7983">
        <w:t xml:space="preserve"> footprints can or cannot occur) and the pattern of growth and reclamation of </w:t>
      </w:r>
      <w:r w:rsidR="00C544DE">
        <w:t>land-use</w:t>
      </w:r>
      <w:r w:rsidRPr="000A7983">
        <w:t xml:space="preserve"> features based on the rates and amounts generated </w:t>
      </w:r>
      <w:r w:rsidR="0068131E">
        <w:t>by</w:t>
      </w:r>
      <w:r w:rsidRPr="000A7983">
        <w:t xml:space="preserve"> ALCES</w:t>
      </w:r>
      <w:r w:rsidRPr="00432B27">
        <w:rPr>
          <w:vertAlign w:val="superscript"/>
        </w:rPr>
        <w:t>®</w:t>
      </w:r>
      <w:r>
        <w:t xml:space="preserve">.  </w:t>
      </w:r>
      <w:r w:rsidRPr="000A7983">
        <w:t xml:space="preserve">This feature provides flexibility to build landscapes with different ‘spatial rules’, and is useful for visualizing different zoning or resource utilization strategies.  The ability to define logical </w:t>
      </w:r>
      <w:r w:rsidR="00C544DE">
        <w:t>land-use</w:t>
      </w:r>
      <w:r w:rsidRPr="000A7983">
        <w:t xml:space="preserve"> feature locations ensures that footprints like </w:t>
      </w:r>
      <w:r>
        <w:t>i</w:t>
      </w:r>
      <w:r w:rsidRPr="000A7983">
        <w:t xml:space="preserve">n-situ bitumen development are constrained </w:t>
      </w:r>
      <w:r>
        <w:t>to</w:t>
      </w:r>
      <w:r w:rsidRPr="000A7983">
        <w:t xml:space="preserve"> areas of economic deposits or areas with high potential.  </w:t>
      </w:r>
      <w:r>
        <w:t xml:space="preserve">The spatial constraint masks </w:t>
      </w:r>
      <w:r w:rsidR="0068131E">
        <w:t>used</w:t>
      </w:r>
      <w:r>
        <w:t xml:space="preserve"> in the CLFN ALCES project are illustrated in </w:t>
      </w:r>
      <w:r w:rsidR="00575CA7">
        <w:fldChar w:fldCharType="begin"/>
      </w:r>
      <w:r>
        <w:instrText xml:space="preserve"> REF _Ref325834260 \h </w:instrText>
      </w:r>
      <w:r w:rsidR="00575CA7">
        <w:fldChar w:fldCharType="separate"/>
      </w:r>
      <w:r w:rsidR="003648B8">
        <w:t xml:space="preserve">Figure </w:t>
      </w:r>
      <w:r w:rsidR="003648B8">
        <w:rPr>
          <w:noProof/>
        </w:rPr>
        <w:t>27</w:t>
      </w:r>
      <w:r w:rsidR="00575CA7">
        <w:fldChar w:fldCharType="end"/>
      </w:r>
      <w:r>
        <w:t xml:space="preserve">. </w:t>
      </w:r>
      <w:r w:rsidRPr="000A7983">
        <w:t>Similarly, industrial footprints can be excluded from protected or culturally significant areas.</w:t>
      </w:r>
    </w:p>
    <w:p w:rsidR="009D5FFF" w:rsidRDefault="00A229D1" w:rsidP="009D5FFF">
      <w:pPr>
        <w:autoSpaceDE w:val="0"/>
        <w:autoSpaceDN w:val="0"/>
        <w:adjustRightInd w:val="0"/>
        <w:rPr>
          <w:rFonts w:eastAsiaTheme="minorHAnsi"/>
        </w:rPr>
      </w:pPr>
      <w:r w:rsidRPr="00A229D1">
        <w:rPr>
          <w:rFonts w:eastAsiaTheme="minorHAnsi"/>
          <w:noProof/>
          <w:lang w:val="en-US"/>
        </w:rPr>
        <w:lastRenderedPageBreak/>
        <w:drawing>
          <wp:inline distT="0" distB="0" distL="0" distR="0">
            <wp:extent cx="4756630" cy="3600000"/>
            <wp:effectExtent l="19050" t="19050" r="24920" b="19500"/>
            <wp:docPr id="8"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8" cstate="print"/>
                    <a:srcRect/>
                    <a:stretch>
                      <a:fillRect/>
                    </a:stretch>
                  </pic:blipFill>
                  <pic:spPr bwMode="auto">
                    <a:xfrm>
                      <a:off x="0" y="0"/>
                      <a:ext cx="4756630"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A229D1" w:rsidRDefault="00A229D1" w:rsidP="00A229D1">
      <w:pPr>
        <w:pStyle w:val="Caption"/>
        <w:rPr>
          <w:rFonts w:eastAsiaTheme="minorHAnsi"/>
        </w:rPr>
      </w:pPr>
      <w:bookmarkStart w:id="71" w:name="_Ref326237262"/>
      <w:bookmarkStart w:id="72" w:name="_Toc338703806"/>
      <w:proofErr w:type="gramStart"/>
      <w:r>
        <w:t xml:space="preserve">Figure </w:t>
      </w:r>
      <w:r w:rsidR="00575CA7">
        <w:fldChar w:fldCharType="begin"/>
      </w:r>
      <w:r w:rsidR="009D7DD3">
        <w:instrText xml:space="preserve"> SEQ Figure \* ARABIC </w:instrText>
      </w:r>
      <w:r w:rsidR="00575CA7">
        <w:fldChar w:fldCharType="separate"/>
      </w:r>
      <w:r w:rsidR="00A02D22">
        <w:rPr>
          <w:noProof/>
        </w:rPr>
        <w:t>26</w:t>
      </w:r>
      <w:r w:rsidR="00575CA7">
        <w:fldChar w:fldCharType="end"/>
      </w:r>
      <w:bookmarkEnd w:id="71"/>
      <w:r>
        <w:t>.</w:t>
      </w:r>
      <w:proofErr w:type="gramEnd"/>
      <w:r>
        <w:t xml:space="preserve"> Example of ALCES Mapper output for time series of well density on CLFN SA.</w:t>
      </w:r>
      <w:bookmarkEnd w:id="72"/>
    </w:p>
    <w:p w:rsidR="00A229D1" w:rsidRDefault="00A229D1" w:rsidP="009D5FFF">
      <w:pPr>
        <w:autoSpaceDE w:val="0"/>
        <w:autoSpaceDN w:val="0"/>
        <w:adjustRightInd w:val="0"/>
        <w:rPr>
          <w:rFonts w:eastAsiaTheme="minorHAnsi"/>
        </w:rPr>
      </w:pPr>
    </w:p>
    <w:p w:rsidR="009D5FFF" w:rsidRDefault="00C84ECA" w:rsidP="009D5FFF">
      <w:pPr>
        <w:keepNext/>
        <w:autoSpaceDE w:val="0"/>
        <w:autoSpaceDN w:val="0"/>
        <w:adjustRightInd w:val="0"/>
      </w:pPr>
      <w:r>
        <w:rPr>
          <w:noProof/>
          <w:lang w:val="en-US"/>
        </w:rPr>
        <w:lastRenderedPageBreak/>
        <w:drawing>
          <wp:inline distT="0" distB="0" distL="0" distR="0">
            <wp:extent cx="5486400" cy="7100047"/>
            <wp:effectExtent l="38100" t="19050" r="19050" b="24653"/>
            <wp:docPr id="31" name="Picture 4" descr="C:\Documents and Settings\Brad\Local Settings\Temporary Internet Files\Content.Outlook\Z9YTZ38U\CLFN Masks Formal Report Map 2 May 29-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Brad\Local Settings\Temporary Internet Files\Content.Outlook\Z9YTZ38U\CLFN Masks Formal Report Map 2 May 29-2012.png"/>
                    <pic:cNvPicPr>
                      <a:picLocks noChangeAspect="1" noChangeArrowheads="1"/>
                    </pic:cNvPicPr>
                  </pic:nvPicPr>
                  <pic:blipFill>
                    <a:blip r:embed="rId39" cstate="print"/>
                    <a:srcRect/>
                    <a:stretch>
                      <a:fillRect/>
                    </a:stretch>
                  </pic:blipFill>
                  <pic:spPr bwMode="auto">
                    <a:xfrm>
                      <a:off x="0" y="0"/>
                      <a:ext cx="5486400" cy="7100047"/>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9D5FFF" w:rsidRDefault="009D5FFF" w:rsidP="009D5FFF">
      <w:pPr>
        <w:pStyle w:val="Caption"/>
        <w:rPr>
          <w:rFonts w:eastAsiaTheme="minorHAnsi"/>
        </w:rPr>
      </w:pPr>
      <w:bookmarkStart w:id="73" w:name="_Ref325834260"/>
      <w:bookmarkStart w:id="74" w:name="_Toc338703807"/>
      <w:proofErr w:type="gramStart"/>
      <w:r>
        <w:t xml:space="preserve">Figure </w:t>
      </w:r>
      <w:r w:rsidR="00575CA7">
        <w:fldChar w:fldCharType="begin"/>
      </w:r>
      <w:r w:rsidR="009D7DD3">
        <w:instrText xml:space="preserve"> SEQ Figure \* ARABIC </w:instrText>
      </w:r>
      <w:r w:rsidR="00575CA7">
        <w:fldChar w:fldCharType="separate"/>
      </w:r>
      <w:r w:rsidR="00A02D22">
        <w:rPr>
          <w:noProof/>
        </w:rPr>
        <w:t>27</w:t>
      </w:r>
      <w:r w:rsidR="00575CA7">
        <w:fldChar w:fldCharType="end"/>
      </w:r>
      <w:bookmarkEnd w:id="73"/>
      <w:r>
        <w:t>.</w:t>
      </w:r>
      <w:proofErr w:type="gramEnd"/>
      <w:r>
        <w:t xml:space="preserve"> Spatial inclusionary masks used for expansion of agriculture, rural residential, settlements and hydrocarbon footprints in CLFN SA.</w:t>
      </w:r>
      <w:bookmarkEnd w:id="74"/>
    </w:p>
    <w:p w:rsidR="009D5FFF" w:rsidRDefault="009D5FFF" w:rsidP="009D5FFF">
      <w:pPr>
        <w:autoSpaceDE w:val="0"/>
        <w:autoSpaceDN w:val="0"/>
        <w:adjustRightInd w:val="0"/>
        <w:rPr>
          <w:rFonts w:eastAsiaTheme="minorHAnsi"/>
        </w:rPr>
      </w:pPr>
    </w:p>
    <w:p w:rsidR="009D5FFF" w:rsidRDefault="009D5FFF" w:rsidP="009D5FFF">
      <w:pPr>
        <w:keepNext/>
        <w:autoSpaceDE w:val="0"/>
        <w:autoSpaceDN w:val="0"/>
        <w:adjustRightInd w:val="0"/>
      </w:pPr>
    </w:p>
    <w:p w:rsidR="009D5FFF" w:rsidRPr="009E4F21" w:rsidRDefault="009D5FFF" w:rsidP="009D5FFF">
      <w:pPr>
        <w:pStyle w:val="BodyText"/>
        <w:rPr>
          <w:lang w:val="en-US"/>
        </w:rPr>
      </w:pPr>
    </w:p>
    <w:p w:rsidR="00871C3E" w:rsidRDefault="007C6461" w:rsidP="00871C3E">
      <w:pPr>
        <w:pStyle w:val="Heading1"/>
      </w:pPr>
      <w:bookmarkStart w:id="75" w:name="_Toc338703687"/>
      <w:r>
        <w:lastRenderedPageBreak/>
        <w:t>An Overview of</w:t>
      </w:r>
      <w:r w:rsidR="00CB13BF">
        <w:t xml:space="preserve"> </w:t>
      </w:r>
      <w:r w:rsidR="00C544DE">
        <w:t>Land-use</w:t>
      </w:r>
      <w:r w:rsidR="00871C3E" w:rsidRPr="00871C3E">
        <w:t>s</w:t>
      </w:r>
      <w:bookmarkEnd w:id="75"/>
      <w:r>
        <w:t xml:space="preserve">  </w:t>
      </w:r>
    </w:p>
    <w:p w:rsidR="009B3327" w:rsidRDefault="009B3327" w:rsidP="00C23287">
      <w:pPr>
        <w:pStyle w:val="BodyText"/>
        <w:rPr>
          <w:lang w:val="en-US"/>
        </w:rPr>
      </w:pPr>
      <w:r>
        <w:rPr>
          <w:lang w:val="en-US"/>
        </w:rPr>
        <w:t xml:space="preserve">The </w:t>
      </w:r>
      <w:r w:rsidR="00C544DE">
        <w:rPr>
          <w:lang w:val="en-US"/>
        </w:rPr>
        <w:t>land-use</w:t>
      </w:r>
      <w:r>
        <w:rPr>
          <w:lang w:val="en-US"/>
        </w:rPr>
        <w:t xml:space="preserve">s that have collectively shaped </w:t>
      </w:r>
      <w:r w:rsidR="0068131E">
        <w:rPr>
          <w:lang w:val="en-US"/>
        </w:rPr>
        <w:t>the CLFN SA are First Nations, trapping, a</w:t>
      </w:r>
      <w:r>
        <w:rPr>
          <w:lang w:val="en-US"/>
        </w:rPr>
        <w:t>griculture (both crops and lives</w:t>
      </w:r>
      <w:r w:rsidR="0068131E">
        <w:rPr>
          <w:lang w:val="en-US"/>
        </w:rPr>
        <w:t>tock), the hydrocarbon sector, provincial parks, military, settlements and t</w:t>
      </w:r>
      <w:r>
        <w:rPr>
          <w:lang w:val="en-US"/>
        </w:rPr>
        <w:t>ransportation</w:t>
      </w:r>
      <w:r w:rsidR="00727AA0">
        <w:rPr>
          <w:lang w:val="en-US"/>
        </w:rPr>
        <w:t xml:space="preserve"> (</w:t>
      </w:r>
      <w:r w:rsidR="00575CA7">
        <w:rPr>
          <w:lang w:val="en-US"/>
        </w:rPr>
        <w:fldChar w:fldCharType="begin"/>
      </w:r>
      <w:r w:rsidR="00727AA0">
        <w:rPr>
          <w:lang w:val="en-US"/>
        </w:rPr>
        <w:instrText xml:space="preserve"> REF _Ref326095096 \h </w:instrText>
      </w:r>
      <w:r w:rsidR="00575CA7">
        <w:rPr>
          <w:lang w:val="en-US"/>
        </w:rPr>
      </w:r>
      <w:r w:rsidR="00575CA7">
        <w:rPr>
          <w:lang w:val="en-US"/>
        </w:rPr>
        <w:fldChar w:fldCharType="separate"/>
      </w:r>
      <w:r w:rsidR="003648B8">
        <w:t xml:space="preserve">Figure </w:t>
      </w:r>
      <w:r w:rsidR="003648B8">
        <w:rPr>
          <w:noProof/>
        </w:rPr>
        <w:t>28</w:t>
      </w:r>
      <w:r w:rsidR="00575CA7">
        <w:rPr>
          <w:lang w:val="en-US"/>
        </w:rPr>
        <w:fldChar w:fldCharType="end"/>
      </w:r>
      <w:r w:rsidR="00727AA0">
        <w:rPr>
          <w:lang w:val="en-US"/>
        </w:rPr>
        <w:t>)</w:t>
      </w:r>
      <w:r>
        <w:rPr>
          <w:lang w:val="en-US"/>
        </w:rPr>
        <w:t>.</w:t>
      </w:r>
    </w:p>
    <w:p w:rsidR="009B3327" w:rsidRDefault="009B3327" w:rsidP="00C23287">
      <w:pPr>
        <w:pStyle w:val="BodyText"/>
        <w:rPr>
          <w:lang w:val="en-US"/>
        </w:rPr>
      </w:pPr>
      <w:r>
        <w:rPr>
          <w:lang w:val="en-US"/>
        </w:rPr>
        <w:t>Collectively, th</w:t>
      </w:r>
      <w:r w:rsidR="00727AA0">
        <w:rPr>
          <w:lang w:val="en-US"/>
        </w:rPr>
        <w:t xml:space="preserve">ese </w:t>
      </w:r>
      <w:r w:rsidR="00C544DE">
        <w:rPr>
          <w:lang w:val="en-US"/>
        </w:rPr>
        <w:t>land-use</w:t>
      </w:r>
      <w:r w:rsidR="00727AA0">
        <w:rPr>
          <w:lang w:val="en-US"/>
        </w:rPr>
        <w:t>s have created ~</w:t>
      </w:r>
      <w:r w:rsidR="00C84ECA">
        <w:rPr>
          <w:lang w:val="en-US"/>
        </w:rPr>
        <w:t>152,000</w:t>
      </w:r>
      <w:r>
        <w:rPr>
          <w:lang w:val="en-US"/>
        </w:rPr>
        <w:t xml:space="preserve"> ha (</w:t>
      </w:r>
      <w:r w:rsidR="00575CA7">
        <w:rPr>
          <w:lang w:val="en-US"/>
        </w:rPr>
        <w:fldChar w:fldCharType="begin"/>
      </w:r>
      <w:r>
        <w:rPr>
          <w:lang w:val="en-US"/>
        </w:rPr>
        <w:instrText xml:space="preserve"> REF _Ref325472250 \h </w:instrText>
      </w:r>
      <w:r w:rsidR="00575CA7">
        <w:rPr>
          <w:lang w:val="en-US"/>
        </w:rPr>
      </w:r>
      <w:r w:rsidR="00575CA7">
        <w:rPr>
          <w:lang w:val="en-US"/>
        </w:rPr>
        <w:fldChar w:fldCharType="separate"/>
      </w:r>
      <w:r w:rsidR="003648B8">
        <w:t xml:space="preserve">Figure </w:t>
      </w:r>
      <w:r w:rsidR="003648B8">
        <w:rPr>
          <w:noProof/>
        </w:rPr>
        <w:t>29</w:t>
      </w:r>
      <w:r w:rsidR="00575CA7">
        <w:rPr>
          <w:lang w:val="en-US"/>
        </w:rPr>
        <w:fldChar w:fldCharType="end"/>
      </w:r>
      <w:r w:rsidR="00C84ECA">
        <w:rPr>
          <w:lang w:val="en-US"/>
        </w:rPr>
        <w:t xml:space="preserve">) and </w:t>
      </w:r>
      <w:r w:rsidR="00727AA0">
        <w:rPr>
          <w:lang w:val="en-US"/>
        </w:rPr>
        <w:t>52,000</w:t>
      </w:r>
      <w:r>
        <w:rPr>
          <w:lang w:val="en-US"/>
        </w:rPr>
        <w:t xml:space="preserve"> km (</w:t>
      </w:r>
      <w:r w:rsidR="00575CA7">
        <w:rPr>
          <w:lang w:val="en-US"/>
        </w:rPr>
        <w:fldChar w:fldCharType="begin"/>
      </w:r>
      <w:r>
        <w:rPr>
          <w:lang w:val="en-US"/>
        </w:rPr>
        <w:instrText xml:space="preserve"> REF _Ref325882504 \h </w:instrText>
      </w:r>
      <w:r w:rsidR="00575CA7">
        <w:rPr>
          <w:lang w:val="en-US"/>
        </w:rPr>
      </w:r>
      <w:r w:rsidR="00575CA7">
        <w:rPr>
          <w:lang w:val="en-US"/>
        </w:rPr>
        <w:fldChar w:fldCharType="separate"/>
      </w:r>
      <w:r w:rsidR="003648B8">
        <w:t xml:space="preserve">Figure </w:t>
      </w:r>
      <w:r w:rsidR="003648B8">
        <w:rPr>
          <w:noProof/>
        </w:rPr>
        <w:t>30</w:t>
      </w:r>
      <w:r w:rsidR="00575CA7">
        <w:rPr>
          <w:lang w:val="en-US"/>
        </w:rPr>
        <w:fldChar w:fldCharType="end"/>
      </w:r>
      <w:r>
        <w:rPr>
          <w:lang w:val="en-US"/>
        </w:rPr>
        <w:t xml:space="preserve">) of direct footprints (croplands, roads, wellpads, seismic lines, settlements, rural residential, gravel pits) or have caused regulatory changes that have affected CLFN over very large area (Parks: </w:t>
      </w:r>
      <w:r w:rsidR="00727AA0">
        <w:rPr>
          <w:lang w:val="en-US"/>
        </w:rPr>
        <w:t>6,643 ha; CLAWR: 470,000</w:t>
      </w:r>
      <w:r>
        <w:rPr>
          <w:lang w:val="en-US"/>
        </w:rPr>
        <w:t xml:space="preserve"> ha).</w:t>
      </w:r>
    </w:p>
    <w:p w:rsidR="00C23287" w:rsidRDefault="00C23287" w:rsidP="00C23287">
      <w:pPr>
        <w:pStyle w:val="BodyText"/>
        <w:rPr>
          <w:lang w:val="en-US"/>
        </w:rPr>
      </w:pPr>
      <w:r>
        <w:rPr>
          <w:lang w:val="en-US"/>
        </w:rPr>
        <w:t xml:space="preserve">The following sections describe at a synoptic level the history and current status of each of these </w:t>
      </w:r>
      <w:r w:rsidR="00C544DE">
        <w:rPr>
          <w:lang w:val="en-US"/>
        </w:rPr>
        <w:t>land-use</w:t>
      </w:r>
      <w:r>
        <w:rPr>
          <w:lang w:val="en-US"/>
        </w:rPr>
        <w:t>s.</w:t>
      </w:r>
    </w:p>
    <w:p w:rsidR="00793B35" w:rsidRDefault="00793B35" w:rsidP="00C23287">
      <w:pPr>
        <w:pStyle w:val="BodyText"/>
        <w:rPr>
          <w:lang w:val="en-US"/>
        </w:rPr>
      </w:pPr>
    </w:p>
    <w:p w:rsidR="00793B35" w:rsidRDefault="00793B35" w:rsidP="00C23287">
      <w:pPr>
        <w:pStyle w:val="BodyText"/>
        <w:rPr>
          <w:lang w:val="en-US"/>
        </w:rPr>
      </w:pPr>
    </w:p>
    <w:p w:rsidR="00793B35" w:rsidRDefault="00793B35" w:rsidP="00C23287">
      <w:pPr>
        <w:pStyle w:val="BodyText"/>
        <w:rPr>
          <w:lang w:val="en-US"/>
        </w:rPr>
      </w:pPr>
    </w:p>
    <w:p w:rsidR="00793B35" w:rsidRDefault="00793B35" w:rsidP="00C23287">
      <w:pPr>
        <w:pStyle w:val="BodyText"/>
        <w:rPr>
          <w:lang w:val="en-US"/>
        </w:rPr>
      </w:pPr>
    </w:p>
    <w:p w:rsidR="00793B35" w:rsidRDefault="00793B35" w:rsidP="00C23287">
      <w:pPr>
        <w:pStyle w:val="BodyText"/>
        <w:rPr>
          <w:lang w:val="en-US"/>
        </w:rPr>
      </w:pPr>
    </w:p>
    <w:p w:rsidR="00B14ED1" w:rsidRDefault="00012E29" w:rsidP="00AD45C3">
      <w:pPr>
        <w:pStyle w:val="BodyText"/>
        <w:keepNext/>
        <w:spacing w:after="0"/>
      </w:pPr>
      <w:r>
        <w:rPr>
          <w:noProof/>
          <w:lang w:val="en-US"/>
        </w:rPr>
        <w:drawing>
          <wp:inline distT="0" distB="0" distL="0" distR="0">
            <wp:extent cx="4766897" cy="3600000"/>
            <wp:effectExtent l="19050" t="19050" r="14653" b="19500"/>
            <wp:docPr id="796"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0" cstate="print"/>
                    <a:srcRect/>
                    <a:stretch>
                      <a:fillRect/>
                    </a:stretch>
                  </pic:blipFill>
                  <pic:spPr bwMode="auto">
                    <a:xfrm>
                      <a:off x="0" y="0"/>
                      <a:ext cx="4766897"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AF2AE0" w:rsidRDefault="00B14ED1">
      <w:pPr>
        <w:pStyle w:val="Caption"/>
      </w:pPr>
      <w:bookmarkStart w:id="76" w:name="_Ref326095096"/>
      <w:bookmarkStart w:id="77" w:name="_Toc338703808"/>
      <w:proofErr w:type="gramStart"/>
      <w:r>
        <w:t xml:space="preserve">Figure </w:t>
      </w:r>
      <w:r w:rsidR="00575CA7">
        <w:fldChar w:fldCharType="begin"/>
      </w:r>
      <w:r>
        <w:instrText xml:space="preserve"> SEQ Figure \* ARABIC </w:instrText>
      </w:r>
      <w:r w:rsidR="00575CA7">
        <w:fldChar w:fldCharType="separate"/>
      </w:r>
      <w:r w:rsidR="00A02D22">
        <w:rPr>
          <w:noProof/>
        </w:rPr>
        <w:t>28</w:t>
      </w:r>
      <w:r w:rsidR="00575CA7">
        <w:fldChar w:fldCharType="end"/>
      </w:r>
      <w:bookmarkEnd w:id="76"/>
      <w:r>
        <w:t>.</w:t>
      </w:r>
      <w:proofErr w:type="gramEnd"/>
      <w:r>
        <w:t xml:space="preserve"> </w:t>
      </w:r>
      <w:proofErr w:type="gramStart"/>
      <w:r>
        <w:t xml:space="preserve">The overlapping </w:t>
      </w:r>
      <w:r w:rsidR="00C544DE">
        <w:t>land-use</w:t>
      </w:r>
      <w:r w:rsidR="00064876">
        <w:t>s</w:t>
      </w:r>
      <w:r>
        <w:t xml:space="preserve"> that are collectively shaping the CLFN SA.</w:t>
      </w:r>
      <w:bookmarkEnd w:id="77"/>
      <w:proofErr w:type="gramEnd"/>
    </w:p>
    <w:p w:rsidR="00C23287" w:rsidRDefault="00C23287" w:rsidP="00AD45C3">
      <w:pPr>
        <w:pStyle w:val="BodyText"/>
        <w:keepNext/>
        <w:spacing w:after="0"/>
      </w:pPr>
      <w:r>
        <w:rPr>
          <w:noProof/>
          <w:lang w:val="en-US"/>
        </w:rPr>
        <w:lastRenderedPageBreak/>
        <w:drawing>
          <wp:inline distT="0" distB="0" distL="0" distR="0">
            <wp:extent cx="5738777" cy="3596922"/>
            <wp:effectExtent l="19050" t="19050" r="14323" b="22578"/>
            <wp:docPr id="73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cstate="print"/>
                    <a:srcRect/>
                    <a:stretch>
                      <a:fillRect/>
                    </a:stretch>
                  </pic:blipFill>
                  <pic:spPr bwMode="auto">
                    <a:xfrm>
                      <a:off x="0" y="0"/>
                      <a:ext cx="5743688"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C23287" w:rsidRDefault="00C23287" w:rsidP="00C23287">
      <w:pPr>
        <w:pStyle w:val="Caption"/>
      </w:pPr>
      <w:bookmarkStart w:id="78" w:name="_Ref325472250"/>
      <w:bookmarkStart w:id="79" w:name="_Toc338703809"/>
      <w:proofErr w:type="gramStart"/>
      <w:r>
        <w:t xml:space="preserve">Figure </w:t>
      </w:r>
      <w:r w:rsidR="00575CA7">
        <w:fldChar w:fldCharType="begin"/>
      </w:r>
      <w:r w:rsidR="009D7DD3">
        <w:instrText xml:space="preserve"> SEQ Figure \* ARABIC </w:instrText>
      </w:r>
      <w:r w:rsidR="00575CA7">
        <w:fldChar w:fldCharType="separate"/>
      </w:r>
      <w:r w:rsidR="00A02D22">
        <w:rPr>
          <w:noProof/>
        </w:rPr>
        <w:t>29</w:t>
      </w:r>
      <w:r w:rsidR="00575CA7">
        <w:fldChar w:fldCharType="end"/>
      </w:r>
      <w:bookmarkEnd w:id="78"/>
      <w:r>
        <w:t>.</w:t>
      </w:r>
      <w:proofErr w:type="gramEnd"/>
      <w:r>
        <w:t xml:space="preserve"> Current landscape composition of the CLFN</w:t>
      </w:r>
      <w:r w:rsidR="004C53F9">
        <w:t xml:space="preserve"> SA</w:t>
      </w:r>
      <w:r>
        <w:t>.</w:t>
      </w:r>
      <w:bookmarkEnd w:id="79"/>
    </w:p>
    <w:p w:rsidR="005945FB" w:rsidRDefault="005945FB" w:rsidP="005945FB">
      <w:pPr>
        <w:rPr>
          <w:lang w:eastAsia="en-CA"/>
        </w:rPr>
      </w:pPr>
    </w:p>
    <w:p w:rsidR="005945FB" w:rsidRDefault="00F11076" w:rsidP="005945FB">
      <w:pPr>
        <w:pStyle w:val="BodyText"/>
        <w:keepNext/>
        <w:spacing w:after="0"/>
      </w:pPr>
      <w:r>
        <w:rPr>
          <w:noProof/>
          <w:lang w:val="en-US"/>
        </w:rPr>
        <w:drawing>
          <wp:inline distT="0" distB="0" distL="0" distR="0">
            <wp:extent cx="5741869" cy="3600000"/>
            <wp:effectExtent l="19050" t="19050" r="11231" b="19500"/>
            <wp:docPr id="7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5741869"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5945FB" w:rsidRPr="00C23287" w:rsidRDefault="005945FB" w:rsidP="005945FB">
      <w:pPr>
        <w:pStyle w:val="Caption"/>
        <w:rPr>
          <w:lang w:val="en-US"/>
        </w:rPr>
      </w:pPr>
      <w:bookmarkStart w:id="80" w:name="_Ref325882504"/>
      <w:bookmarkStart w:id="81" w:name="_Toc338703810"/>
      <w:proofErr w:type="gramStart"/>
      <w:r>
        <w:t xml:space="preserve">Figure </w:t>
      </w:r>
      <w:fldSimple w:instr=" SEQ Figure \* ARABIC ">
        <w:r w:rsidR="00A02D22">
          <w:rPr>
            <w:noProof/>
          </w:rPr>
          <w:t>30</w:t>
        </w:r>
      </w:fldSimple>
      <w:bookmarkEnd w:id="80"/>
      <w:r>
        <w:t>.</w:t>
      </w:r>
      <w:proofErr w:type="gramEnd"/>
      <w:r>
        <w:t xml:space="preserve"> </w:t>
      </w:r>
      <w:proofErr w:type="gramStart"/>
      <w:r>
        <w:t xml:space="preserve">Current </w:t>
      </w:r>
      <w:r w:rsidR="00C544DE">
        <w:t>land-use</w:t>
      </w:r>
      <w:r>
        <w:t xml:space="preserve"> edge of the CLFN SA.</w:t>
      </w:r>
      <w:bookmarkEnd w:id="81"/>
      <w:proofErr w:type="gramEnd"/>
    </w:p>
    <w:p w:rsidR="005945FB" w:rsidRPr="005945FB" w:rsidRDefault="005945FB" w:rsidP="005945FB">
      <w:pPr>
        <w:rPr>
          <w:lang w:eastAsia="en-CA"/>
        </w:rPr>
      </w:pPr>
    </w:p>
    <w:p w:rsidR="00E7151B" w:rsidRDefault="00E7151B">
      <w:pPr>
        <w:spacing w:after="200" w:line="276" w:lineRule="auto"/>
        <w:rPr>
          <w:rFonts w:ascii="Arial" w:hAnsi="Arial"/>
          <w:b/>
          <w:caps/>
          <w:kern w:val="28"/>
          <w:lang w:val="en-US"/>
        </w:rPr>
      </w:pPr>
      <w:r>
        <w:br w:type="page"/>
      </w:r>
    </w:p>
    <w:p w:rsidR="00871C3E" w:rsidRDefault="00871C3E" w:rsidP="00871C3E">
      <w:pPr>
        <w:pStyle w:val="Heading2"/>
      </w:pPr>
      <w:bookmarkStart w:id="82" w:name="_Toc338703688"/>
      <w:r>
        <w:lastRenderedPageBreak/>
        <w:t>First Nations</w:t>
      </w:r>
      <w:bookmarkEnd w:id="82"/>
    </w:p>
    <w:p w:rsidR="00943009" w:rsidRDefault="00943009" w:rsidP="00943009">
      <w:pPr>
        <w:pStyle w:val="BodyText"/>
      </w:pPr>
      <w:r>
        <w:t xml:space="preserve">The </w:t>
      </w:r>
      <w:r w:rsidRPr="00624932">
        <w:rPr>
          <w:i/>
        </w:rPr>
        <w:t>Densuline</w:t>
      </w:r>
      <w:r>
        <w:t xml:space="preserve"> peoples of Cold Lake First Nations</w:t>
      </w:r>
      <w:r w:rsidR="00560D4F">
        <w:t xml:space="preserve"> (</w:t>
      </w:r>
      <w:r w:rsidR="00575CA7">
        <w:fldChar w:fldCharType="begin"/>
      </w:r>
      <w:r w:rsidR="00560D4F">
        <w:instrText xml:space="preserve"> REF _Ref326242411 \h </w:instrText>
      </w:r>
      <w:r w:rsidR="00575CA7">
        <w:fldChar w:fldCharType="separate"/>
      </w:r>
      <w:r w:rsidR="003648B8">
        <w:t xml:space="preserve">Figure </w:t>
      </w:r>
      <w:r w:rsidR="003648B8">
        <w:rPr>
          <w:noProof/>
        </w:rPr>
        <w:t>31</w:t>
      </w:r>
      <w:r w:rsidR="00575CA7">
        <w:fldChar w:fldCharType="end"/>
      </w:r>
      <w:r w:rsidR="00560D4F">
        <w:t xml:space="preserve">, </w:t>
      </w:r>
      <w:r w:rsidR="00575CA7">
        <w:fldChar w:fldCharType="begin"/>
      </w:r>
      <w:r w:rsidR="00560D4F">
        <w:instrText xml:space="preserve"> REF _Ref326242361 \h </w:instrText>
      </w:r>
      <w:r w:rsidR="00575CA7">
        <w:fldChar w:fldCharType="separate"/>
      </w:r>
      <w:r w:rsidR="003648B8">
        <w:t xml:space="preserve">Figure </w:t>
      </w:r>
      <w:r w:rsidR="003648B8">
        <w:rPr>
          <w:noProof/>
        </w:rPr>
        <w:t>32</w:t>
      </w:r>
      <w:r w:rsidR="00575CA7">
        <w:fldChar w:fldCharType="end"/>
      </w:r>
      <w:r w:rsidR="00560D4F">
        <w:t>)</w:t>
      </w:r>
      <w:r>
        <w:t xml:space="preserve"> have resided in the boreal mixed wood forests of east central Alberta for approximately 10,000 years. For 98% of this time, they existed as nomadic Hunter-Gatherers whose distribution and activities</w:t>
      </w:r>
      <w:r w:rsidR="00560D4F">
        <w:t xml:space="preserve"> (</w:t>
      </w:r>
      <w:r w:rsidR="00575CA7">
        <w:fldChar w:fldCharType="begin"/>
      </w:r>
      <w:r w:rsidR="00560D4F">
        <w:instrText xml:space="preserve"> REF _Ref326242472 \h </w:instrText>
      </w:r>
      <w:r w:rsidR="00575CA7">
        <w:fldChar w:fldCharType="separate"/>
      </w:r>
      <w:r w:rsidR="003648B8">
        <w:t xml:space="preserve">Figure </w:t>
      </w:r>
      <w:r w:rsidR="003648B8">
        <w:rPr>
          <w:noProof/>
        </w:rPr>
        <w:t>33</w:t>
      </w:r>
      <w:r w:rsidR="00575CA7">
        <w:fldChar w:fldCharType="end"/>
      </w:r>
      <w:r w:rsidR="00560D4F">
        <w:t>)</w:t>
      </w:r>
      <w:r>
        <w:t xml:space="preserve"> were shaped by seasonal and inter-annual variation in climate, and the diversity of landforms that comprised this landscape. The CLFN/</w:t>
      </w:r>
      <w:r w:rsidRPr="00624932">
        <w:rPr>
          <w:i/>
        </w:rPr>
        <w:t>Denesuline</w:t>
      </w:r>
      <w:r>
        <w:t xml:space="preserve"> community’s pre-European era numbers likely fluctuated from a few hundred to a few thousand. Represented by a collection of nomadic family clans, their continuous movements</w:t>
      </w:r>
      <w:r w:rsidR="00560D4F">
        <w:t xml:space="preserve"> (</w:t>
      </w:r>
      <w:r w:rsidR="00575CA7">
        <w:fldChar w:fldCharType="begin"/>
      </w:r>
      <w:r w:rsidR="00560D4F">
        <w:instrText xml:space="preserve"> REF _Ref326242523 \h </w:instrText>
      </w:r>
      <w:r w:rsidR="00575CA7">
        <w:fldChar w:fldCharType="separate"/>
      </w:r>
      <w:r w:rsidR="003648B8">
        <w:t xml:space="preserve">Figure </w:t>
      </w:r>
      <w:r w:rsidR="003648B8">
        <w:rPr>
          <w:noProof/>
        </w:rPr>
        <w:t>35</w:t>
      </w:r>
      <w:r w:rsidR="00575CA7">
        <w:fldChar w:fldCharType="end"/>
      </w:r>
      <w:r w:rsidR="00560D4F">
        <w:t>)</w:t>
      </w:r>
      <w:r>
        <w:t xml:space="preserve"> across a traditional network of trails and non-permanent settlements (</w:t>
      </w:r>
      <w:r w:rsidR="00575CA7">
        <w:fldChar w:fldCharType="begin"/>
      </w:r>
      <w:r>
        <w:instrText xml:space="preserve"> REF _Ref325617666 \h </w:instrText>
      </w:r>
      <w:r w:rsidR="00575CA7">
        <w:fldChar w:fldCharType="separate"/>
      </w:r>
      <w:r w:rsidR="003648B8">
        <w:t xml:space="preserve">Figure </w:t>
      </w:r>
      <w:r w:rsidR="003648B8">
        <w:rPr>
          <w:noProof/>
        </w:rPr>
        <w:t>37</w:t>
      </w:r>
      <w:r w:rsidR="00575CA7">
        <w:fldChar w:fldCharType="end"/>
      </w:r>
      <w:r>
        <w:t xml:space="preserve">, </w:t>
      </w:r>
      <w:r w:rsidR="00575CA7">
        <w:fldChar w:fldCharType="begin"/>
      </w:r>
      <w:r w:rsidR="00560D4F">
        <w:instrText xml:space="preserve"> REF _Ref326243385 \h </w:instrText>
      </w:r>
      <w:r w:rsidR="00575CA7">
        <w:fldChar w:fldCharType="separate"/>
      </w:r>
      <w:r w:rsidR="003648B8">
        <w:t xml:space="preserve">Figure </w:t>
      </w:r>
      <w:r w:rsidR="003648B8">
        <w:rPr>
          <w:noProof/>
        </w:rPr>
        <w:t>40</w:t>
      </w:r>
      <w:r w:rsidR="00575CA7">
        <w:fldChar w:fldCharType="end"/>
      </w:r>
      <w:r w:rsidR="00560D4F">
        <w:t xml:space="preserve">, </w:t>
      </w:r>
      <w:r w:rsidR="00575CA7">
        <w:fldChar w:fldCharType="begin"/>
      </w:r>
      <w:r>
        <w:instrText xml:space="preserve"> REF _Ref325453589 \h </w:instrText>
      </w:r>
      <w:r w:rsidR="00575CA7">
        <w:fldChar w:fldCharType="separate"/>
      </w:r>
      <w:r w:rsidR="003648B8">
        <w:t xml:space="preserve">Figure </w:t>
      </w:r>
      <w:r w:rsidR="003648B8">
        <w:rPr>
          <w:noProof/>
        </w:rPr>
        <w:t>41</w:t>
      </w:r>
      <w:r w:rsidR="00575CA7">
        <w:fldChar w:fldCharType="end"/>
      </w:r>
      <w:r w:rsidR="00560D4F">
        <w:t>)</w:t>
      </w:r>
      <w:r>
        <w:t xml:space="preserve"> reflected their need to find and harvest populations of moose, fish, and berries (among other foods, medicines and resources). As food resources would become locally depleted, these nomadic groups would continue their traditional movements, locating new food sources elsewhere, and allowing depleted areas to recover.  The vast area of their Traditional Territory, and the low density of their numbers, allowed for a “spatial-temporal” system of movement and food harvest that was sustainable in time and space. Locations of important cultural activities in CLFN SA are shown in </w:t>
      </w:r>
      <w:r w:rsidR="00575CA7">
        <w:fldChar w:fldCharType="begin"/>
      </w:r>
      <w:r>
        <w:instrText xml:space="preserve"> REF _Ref325452788 \h </w:instrText>
      </w:r>
      <w:r w:rsidR="00575CA7">
        <w:fldChar w:fldCharType="separate"/>
      </w:r>
      <w:r w:rsidR="003648B8">
        <w:t xml:space="preserve">Figure </w:t>
      </w:r>
      <w:r w:rsidR="003648B8">
        <w:rPr>
          <w:noProof/>
        </w:rPr>
        <w:t>34</w:t>
      </w:r>
      <w:r w:rsidR="00575CA7">
        <w:fldChar w:fldCharType="end"/>
      </w:r>
      <w:r>
        <w:t xml:space="preserve"> and more specifically in the Cold lake and Primrose Lake regions in </w:t>
      </w:r>
      <w:r w:rsidR="00575CA7">
        <w:fldChar w:fldCharType="begin"/>
      </w:r>
      <w:r>
        <w:instrText xml:space="preserve"> REF _Ref325452731 \h </w:instrText>
      </w:r>
      <w:r w:rsidR="00575CA7">
        <w:fldChar w:fldCharType="separate"/>
      </w:r>
      <w:r w:rsidR="003648B8">
        <w:t xml:space="preserve">Figure </w:t>
      </w:r>
      <w:r w:rsidR="003648B8">
        <w:rPr>
          <w:noProof/>
        </w:rPr>
        <w:t>38</w:t>
      </w:r>
      <w:r w:rsidR="00575CA7">
        <w:fldChar w:fldCharType="end"/>
      </w:r>
      <w:r>
        <w:t xml:space="preserve"> and </w:t>
      </w:r>
      <w:r w:rsidR="00575CA7">
        <w:fldChar w:fldCharType="begin"/>
      </w:r>
      <w:r>
        <w:instrText xml:space="preserve"> REF _Ref325452732 \h </w:instrText>
      </w:r>
      <w:r w:rsidR="00575CA7">
        <w:fldChar w:fldCharType="separate"/>
      </w:r>
      <w:r w:rsidR="003648B8">
        <w:t xml:space="preserve">Figure </w:t>
      </w:r>
      <w:r w:rsidR="003648B8">
        <w:rPr>
          <w:noProof/>
        </w:rPr>
        <w:t>39</w:t>
      </w:r>
      <w:r w:rsidR="00575CA7">
        <w:fldChar w:fldCharType="end"/>
      </w:r>
      <w:r>
        <w:t>.</w:t>
      </w:r>
    </w:p>
    <w:p w:rsidR="00943009" w:rsidRDefault="00943009" w:rsidP="00943009">
      <w:pPr>
        <w:pStyle w:val="BodyText"/>
      </w:pPr>
      <w:r>
        <w:t xml:space="preserve">Approximately 200 years ago the arrival of Europeans to the CLFN region catalyzed a series of incremental </w:t>
      </w:r>
      <w:r w:rsidR="00C544DE">
        <w:t>land-use</w:t>
      </w:r>
      <w:r>
        <w:t xml:space="preserve"> changes that continues today. The inclusion of CLFN into the trapping industry substantively altered their economy and social fabric, but still allowed them to continue a dynamic lifestyle that was based on the land and the natural resources of the boreal forest. </w:t>
      </w:r>
      <w:r w:rsidRPr="002C5179">
        <w:t xml:space="preserve">Both the CLFN and the wildlife upon which they depended relied heavily on the ability to migrate in poorer weather, and follow ancient migratory trails or seasonal indicators to seek better resources. The migration of people and animals are closely associated with the cultural milestones in traditional lifestyles and land management, and prompt cultural ceremonies or activities.  </w:t>
      </w:r>
      <w:r>
        <w:t>The signing of Treaty Six in 1876 ushered in a new era that introduced CLFN to the concept of Treaty Reserve lands and would later lead to partial restrictions of movement. The arrival of permanent communities of Europeans and agriculture in the southern reaches of their Traditional Territory altered the southern portion of their landscape and its capacity to sustain traditional activities. During this period, some members of the CLFN community became active members of the farming and livestock industries.</w:t>
      </w:r>
    </w:p>
    <w:p w:rsidR="00943009" w:rsidRDefault="00943009" w:rsidP="00943009">
      <w:pPr>
        <w:pStyle w:val="BodyText"/>
      </w:pPr>
      <w:r>
        <w:t xml:space="preserve">In 1952, a </w:t>
      </w:r>
      <w:r w:rsidR="00C544DE">
        <w:t>land-use</w:t>
      </w:r>
      <w:r>
        <w:t xml:space="preserve"> decision by the Governments of Canada and Alberta profoundly affected the peoples of CLFN. The establishment of the Cold Lake Air Weapons Range (CLAWR, also referred to as Primrose Air Weapons Range), ~470,000 ha (within CLFN on the Alberta side) and located in the middle of their Traditional Territory, prevented the CLFN from accessing the central portions of their traditional lands and made it logistically difficult to gain access to the northern regions. When the CLAWR was closed to the public in the late summer of 1954, “the economy of Cold Lake communities collapsed almost immediately.” </w:t>
      </w:r>
      <w:proofErr w:type="gramStart"/>
      <w:r>
        <w:t>(Indian Claims Report,</w:t>
      </w:r>
      <w:r w:rsidR="00EF6CE0">
        <w:t xml:space="preserve"> 1994,</w:t>
      </w:r>
      <w:r>
        <w:t xml:space="preserve"> p. 75).</w:t>
      </w:r>
      <w:proofErr w:type="gramEnd"/>
      <w:r>
        <w:t xml:space="preserve"> </w:t>
      </w:r>
    </w:p>
    <w:p w:rsidR="00943009" w:rsidRDefault="00943009" w:rsidP="00943009">
      <w:pPr>
        <w:pStyle w:val="BodyText"/>
      </w:pPr>
      <w:r>
        <w:t xml:space="preserve">The advent of forced residential schooling </w:t>
      </w:r>
      <w:r w:rsidR="00EF6CE0">
        <w:t>starting in the 1920s</w:t>
      </w:r>
      <w:r w:rsidRPr="00B75C04">
        <w:t xml:space="preserve"> c</w:t>
      </w:r>
      <w:r>
        <w:t xml:space="preserve">aused a permanent discontinuity in community structure and inter-generational transfer of traditional knowledge. This discontinuity is reflected among differences expressed by elders and younger </w:t>
      </w:r>
      <w:r>
        <w:lastRenderedPageBreak/>
        <w:t>generations, whose aspirations for traditional lifestyles and participation in cash economies now sometimes clash.</w:t>
      </w:r>
    </w:p>
    <w:p w:rsidR="00450103" w:rsidRDefault="00450103" w:rsidP="00A800C9">
      <w:pPr>
        <w:pStyle w:val="BodyText"/>
      </w:pPr>
      <w:r>
        <w:t xml:space="preserve">Squeezed between expanding agriculture to the south and an exclusionary military </w:t>
      </w:r>
      <w:r w:rsidR="00C544DE">
        <w:t>land-use</w:t>
      </w:r>
      <w:r>
        <w:t xml:space="preserve"> to the north</w:t>
      </w:r>
      <w:r w:rsidR="00AB4A59">
        <w:t xml:space="preserve"> (</w:t>
      </w:r>
      <w:r w:rsidR="00575CA7">
        <w:fldChar w:fldCharType="begin"/>
      </w:r>
      <w:r w:rsidR="009E47A0">
        <w:instrText xml:space="preserve"> REF _Ref325617469 \h </w:instrText>
      </w:r>
      <w:r w:rsidR="00575CA7">
        <w:fldChar w:fldCharType="separate"/>
      </w:r>
      <w:r w:rsidR="003648B8">
        <w:t xml:space="preserve">Figure </w:t>
      </w:r>
      <w:r w:rsidR="003648B8">
        <w:rPr>
          <w:noProof/>
        </w:rPr>
        <w:t>36</w:t>
      </w:r>
      <w:r w:rsidR="00575CA7">
        <w:fldChar w:fldCharType="end"/>
      </w:r>
      <w:r w:rsidR="009E47A0">
        <w:t xml:space="preserve">), </w:t>
      </w:r>
      <w:r>
        <w:t xml:space="preserve">CLFN </w:t>
      </w:r>
      <w:r w:rsidR="00624932">
        <w:t xml:space="preserve">members </w:t>
      </w:r>
      <w:r>
        <w:t>struggled during the pa</w:t>
      </w:r>
      <w:r w:rsidR="00943009">
        <w:t xml:space="preserve">st 6 decades to maintain some </w:t>
      </w:r>
      <w:r>
        <w:t xml:space="preserve">semblance of traditional activities in a small sub-region that is currently undergoing a massive transformation caused by the hydrocarbon sector. The emergence of the heavy oil sector in the 1960s, and more recently a bitumen development play, has lead to a dense </w:t>
      </w:r>
      <w:r w:rsidRPr="00660B36">
        <w:t xml:space="preserve">network of seismic lines, wellsites, access roads, processing plants, and pipelines across much of southern half of the CLFN </w:t>
      </w:r>
      <w:r w:rsidR="00C619FF">
        <w:t>SA</w:t>
      </w:r>
      <w:r w:rsidR="00AB4A59" w:rsidRPr="00660B36">
        <w:t xml:space="preserve"> (</w:t>
      </w:r>
      <w:fldSimple w:instr=" REF _Ref325563145 \h  \* MERGEFORMAT ">
        <w:r w:rsidR="003648B8">
          <w:t xml:space="preserve">Figure </w:t>
        </w:r>
        <w:r w:rsidR="003648B8">
          <w:rPr>
            <w:noProof/>
          </w:rPr>
          <w:t>78</w:t>
        </w:r>
      </w:fldSimple>
      <w:r w:rsidR="009E47A0" w:rsidRPr="00660B36">
        <w:t xml:space="preserve">, </w:t>
      </w:r>
      <w:fldSimple w:instr=" REF _Ref325563161 \h  \* MERGEFORMAT ">
        <w:r w:rsidR="003648B8">
          <w:t xml:space="preserve">Figure </w:t>
        </w:r>
        <w:r w:rsidR="003648B8">
          <w:rPr>
            <w:noProof/>
          </w:rPr>
          <w:t>79</w:t>
        </w:r>
      </w:fldSimple>
      <w:r w:rsidR="009E47A0" w:rsidRPr="00660B36">
        <w:t xml:space="preserve">, </w:t>
      </w:r>
      <w:r w:rsidR="00575CA7">
        <w:fldChar w:fldCharType="begin"/>
      </w:r>
      <w:r w:rsidR="0022279F">
        <w:instrText xml:space="preserve"> REF _Ref325563173 \h  \* MERGEFORMAT </w:instrText>
      </w:r>
      <w:r w:rsidR="00575CA7">
        <w:fldChar w:fldCharType="separate"/>
      </w:r>
      <w:proofErr w:type="gramStart"/>
      <w:r w:rsidR="003648B8">
        <w:t>Figure</w:t>
      </w:r>
      <w:proofErr w:type="gramEnd"/>
      <w:r w:rsidR="003648B8">
        <w:t xml:space="preserve"> </w:t>
      </w:r>
      <w:r w:rsidR="003648B8">
        <w:rPr>
          <w:noProof/>
        </w:rPr>
        <w:t>80</w:t>
      </w:r>
      <w:r w:rsidR="00575CA7">
        <w:fldChar w:fldCharType="end"/>
      </w:r>
      <w:r w:rsidR="00AB4A59" w:rsidRPr="00660B36">
        <w:t>)</w:t>
      </w:r>
      <w:r w:rsidRPr="00660B36">
        <w:t>. Collectively</w:t>
      </w:r>
      <w:r>
        <w:t xml:space="preserve"> these energy sector footprints have fragmented the boreal forest landscape</w:t>
      </w:r>
      <w:r w:rsidR="00AB4A59">
        <w:t xml:space="preserve"> (</w:t>
      </w:r>
      <w:fldSimple w:instr=" REF _Ref325563145 \h  \* MERGEFORMAT ">
        <w:r w:rsidR="003648B8">
          <w:t xml:space="preserve">Figure </w:t>
        </w:r>
        <w:r w:rsidR="003648B8">
          <w:rPr>
            <w:noProof/>
          </w:rPr>
          <w:t>78</w:t>
        </w:r>
      </w:fldSimple>
      <w:r w:rsidR="001F1E00" w:rsidRPr="001F1E00">
        <w:t xml:space="preserve">, </w:t>
      </w:r>
      <w:fldSimple w:instr=" REF _Ref325563161 \h  \* MERGEFORMAT ">
        <w:r w:rsidR="003648B8">
          <w:t xml:space="preserve">Figure </w:t>
        </w:r>
        <w:r w:rsidR="003648B8">
          <w:rPr>
            <w:noProof/>
          </w:rPr>
          <w:t>79</w:t>
        </w:r>
      </w:fldSimple>
      <w:r w:rsidR="001F1E00" w:rsidRPr="001F1E00">
        <w:t xml:space="preserve">, </w:t>
      </w:r>
      <w:fldSimple w:instr=" REF _Ref325563173 \h  \* MERGEFORMAT ">
        <w:r w:rsidR="003648B8">
          <w:t xml:space="preserve">Figure </w:t>
        </w:r>
        <w:r w:rsidR="003648B8">
          <w:rPr>
            <w:noProof/>
          </w:rPr>
          <w:t>80</w:t>
        </w:r>
      </w:fldSimple>
      <w:r w:rsidR="00AB4A59">
        <w:t>)</w:t>
      </w:r>
      <w:r>
        <w:t>, creating an abundance of roads and other linear features</w:t>
      </w:r>
      <w:r w:rsidR="00CB65A6">
        <w:t>,</w:t>
      </w:r>
      <w:r>
        <w:t xml:space="preserve"> but also restricting access by CLFN to traditional lands through the establishment of gates and other obstructions.</w:t>
      </w:r>
    </w:p>
    <w:p w:rsidR="00793B35" w:rsidRDefault="00793B35" w:rsidP="00A800C9">
      <w:pPr>
        <w:pStyle w:val="BodyText"/>
      </w:pPr>
      <w:r>
        <w:t>The current network of reserves in CLFN (</w:t>
      </w:r>
      <w:r w:rsidR="00575CA7">
        <w:fldChar w:fldCharType="begin"/>
      </w:r>
      <w:r w:rsidR="00560D4F">
        <w:instrText xml:space="preserve"> REF _Ref325558769 \h </w:instrText>
      </w:r>
      <w:r w:rsidR="00575CA7">
        <w:fldChar w:fldCharType="separate"/>
      </w:r>
      <w:r w:rsidR="003648B8">
        <w:t xml:space="preserve">Figure </w:t>
      </w:r>
      <w:r w:rsidR="003648B8">
        <w:rPr>
          <w:noProof/>
        </w:rPr>
        <w:t>42</w:t>
      </w:r>
      <w:r w:rsidR="00575CA7">
        <w:fldChar w:fldCharType="end"/>
      </w:r>
      <w:r w:rsidR="00560D4F">
        <w:t xml:space="preserve">, </w:t>
      </w:r>
      <w:r w:rsidR="00575CA7">
        <w:fldChar w:fldCharType="begin"/>
      </w:r>
      <w:r w:rsidR="008F7EFD">
        <w:instrText xml:space="preserve"> REF _Ref326165301 \h </w:instrText>
      </w:r>
      <w:r w:rsidR="00575CA7">
        <w:fldChar w:fldCharType="separate"/>
      </w:r>
      <w:r w:rsidR="003648B8">
        <w:t xml:space="preserve">Figure </w:t>
      </w:r>
      <w:r w:rsidR="003648B8">
        <w:rPr>
          <w:noProof/>
        </w:rPr>
        <w:t>43</w:t>
      </w:r>
      <w:r w:rsidR="00575CA7">
        <w:fldChar w:fldCharType="end"/>
      </w:r>
      <w:r>
        <w:t xml:space="preserve">) contains a level of </w:t>
      </w:r>
      <w:r w:rsidR="00C544DE">
        <w:t>land-use</w:t>
      </w:r>
      <w:r>
        <w:t xml:space="preserve"> intensity that is visibly lower than the surrounding industrial (agricultural, energy, transportation, settlement)</w:t>
      </w:r>
      <w:r w:rsidR="008F7EFD">
        <w:t xml:space="preserve"> matrix.</w:t>
      </w:r>
    </w:p>
    <w:p w:rsidR="00723781" w:rsidRDefault="00723781" w:rsidP="00A800C9">
      <w:pPr>
        <w:pStyle w:val="BodyText"/>
      </w:pPr>
    </w:p>
    <w:p w:rsidR="00BA52E8" w:rsidRDefault="00BA52E8" w:rsidP="00A800C9">
      <w:pPr>
        <w:pStyle w:val="BodyText"/>
      </w:pPr>
    </w:p>
    <w:p w:rsidR="00450103" w:rsidRDefault="00450103">
      <w:pPr>
        <w:spacing w:after="200" w:line="276" w:lineRule="auto"/>
      </w:pPr>
      <w:r>
        <w:br w:type="page"/>
      </w:r>
    </w:p>
    <w:p w:rsidR="001E61CE" w:rsidRDefault="00364E51" w:rsidP="00AD45C3">
      <w:pPr>
        <w:pStyle w:val="BodyText"/>
        <w:keepNext/>
        <w:spacing w:after="0"/>
      </w:pPr>
      <w:r>
        <w:rPr>
          <w:color w:val="FF0000"/>
        </w:rPr>
        <w:lastRenderedPageBreak/>
        <w:t xml:space="preserve"> </w:t>
      </w:r>
      <w:r w:rsidR="00AC3596">
        <w:t xml:space="preserve"> </w:t>
      </w:r>
      <w:r>
        <w:rPr>
          <w:noProof/>
          <w:lang w:val="en-US"/>
        </w:rPr>
        <w:drawing>
          <wp:inline distT="0" distB="0" distL="0" distR="0">
            <wp:extent cx="4760646" cy="3600000"/>
            <wp:effectExtent l="19050" t="19050" r="20904" b="195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srcRect/>
                    <a:stretch>
                      <a:fillRect/>
                    </a:stretch>
                  </pic:blipFill>
                  <pic:spPr bwMode="auto">
                    <a:xfrm>
                      <a:off x="0" y="0"/>
                      <a:ext cx="4760646"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D662F7" w:rsidRDefault="001E61CE" w:rsidP="001E61CE">
      <w:pPr>
        <w:pStyle w:val="Caption"/>
        <w:rPr>
          <w:lang w:val="en-US"/>
        </w:rPr>
      </w:pPr>
      <w:bookmarkStart w:id="83" w:name="_Ref326242411"/>
      <w:bookmarkStart w:id="84" w:name="_Toc338703811"/>
      <w:proofErr w:type="gramStart"/>
      <w:r>
        <w:t xml:space="preserve">Figure </w:t>
      </w:r>
      <w:r w:rsidR="00575CA7">
        <w:fldChar w:fldCharType="begin"/>
      </w:r>
      <w:r>
        <w:instrText xml:space="preserve"> SEQ Figure \* ARABIC </w:instrText>
      </w:r>
      <w:r w:rsidR="00575CA7">
        <w:fldChar w:fldCharType="separate"/>
      </w:r>
      <w:r w:rsidR="00A02D22">
        <w:rPr>
          <w:noProof/>
        </w:rPr>
        <w:t>31</w:t>
      </w:r>
      <w:r w:rsidR="00575CA7">
        <w:fldChar w:fldCharType="end"/>
      </w:r>
      <w:bookmarkEnd w:id="83"/>
      <w:r>
        <w:t>.</w:t>
      </w:r>
      <w:proofErr w:type="gramEnd"/>
      <w:r>
        <w:t xml:space="preserve"> </w:t>
      </w:r>
      <w:proofErr w:type="gramStart"/>
      <w:r w:rsidR="00BB5E5A">
        <w:t>A few key descriptions of the p</w:t>
      </w:r>
      <w:r w:rsidR="00450103">
        <w:t>eoples of</w:t>
      </w:r>
      <w:r>
        <w:t xml:space="preserve"> Cold Lake First Nations</w:t>
      </w:r>
      <w:r w:rsidR="000D6CF7">
        <w:t>.</w:t>
      </w:r>
      <w:bookmarkEnd w:id="84"/>
      <w:proofErr w:type="gramEnd"/>
    </w:p>
    <w:p w:rsidR="00D662F7" w:rsidRDefault="00D662F7" w:rsidP="00D662F7">
      <w:pPr>
        <w:pStyle w:val="BodyText"/>
        <w:rPr>
          <w:lang w:val="en-US"/>
        </w:rPr>
      </w:pPr>
    </w:p>
    <w:p w:rsidR="001E61CE" w:rsidRDefault="00D662F7" w:rsidP="00AD45C3">
      <w:pPr>
        <w:pStyle w:val="BodyText"/>
        <w:keepNext/>
        <w:spacing w:after="0"/>
      </w:pPr>
      <w:r>
        <w:rPr>
          <w:noProof/>
          <w:lang w:val="en-US"/>
        </w:rPr>
        <w:drawing>
          <wp:inline distT="0" distB="0" distL="0" distR="0">
            <wp:extent cx="4842596" cy="3603282"/>
            <wp:effectExtent l="19050" t="19050" r="15154" b="16218"/>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4" cstate="print"/>
                    <a:srcRect/>
                    <a:stretch>
                      <a:fillRect/>
                    </a:stretch>
                  </pic:blipFill>
                  <pic:spPr bwMode="auto">
                    <a:xfrm>
                      <a:off x="0" y="0"/>
                      <a:ext cx="4838185"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D662F7" w:rsidRDefault="001E61CE" w:rsidP="001E61CE">
      <w:pPr>
        <w:pStyle w:val="Caption"/>
        <w:rPr>
          <w:lang w:val="en-US"/>
        </w:rPr>
      </w:pPr>
      <w:bookmarkStart w:id="85" w:name="_Ref326242361"/>
      <w:bookmarkStart w:id="86" w:name="_Toc338703812"/>
      <w:proofErr w:type="gramStart"/>
      <w:r>
        <w:t xml:space="preserve">Figure </w:t>
      </w:r>
      <w:r w:rsidR="00575CA7">
        <w:fldChar w:fldCharType="begin"/>
      </w:r>
      <w:r>
        <w:instrText xml:space="preserve"> SEQ Figure \* ARABIC </w:instrText>
      </w:r>
      <w:r w:rsidR="00575CA7">
        <w:fldChar w:fldCharType="separate"/>
      </w:r>
      <w:r w:rsidR="00A02D22">
        <w:rPr>
          <w:noProof/>
        </w:rPr>
        <w:t>32</w:t>
      </w:r>
      <w:r w:rsidR="00575CA7">
        <w:fldChar w:fldCharType="end"/>
      </w:r>
      <w:bookmarkEnd w:id="85"/>
      <w:r w:rsidR="00450103">
        <w:t>.</w:t>
      </w:r>
      <w:proofErr w:type="gramEnd"/>
      <w:r w:rsidR="00450103">
        <w:t xml:space="preserve"> </w:t>
      </w:r>
      <w:proofErr w:type="gramStart"/>
      <w:r w:rsidR="00450103">
        <w:t>Earliest e</w:t>
      </w:r>
      <w:r>
        <w:t>vidence of First Nations in northeast Alberta.</w:t>
      </w:r>
      <w:bookmarkEnd w:id="86"/>
      <w:proofErr w:type="gramEnd"/>
    </w:p>
    <w:p w:rsidR="00D662F7" w:rsidRDefault="00D662F7" w:rsidP="00D662F7">
      <w:pPr>
        <w:pStyle w:val="BodyText"/>
        <w:rPr>
          <w:lang w:val="en-US"/>
        </w:rPr>
      </w:pPr>
    </w:p>
    <w:p w:rsidR="001E61CE" w:rsidRDefault="00D662F7" w:rsidP="00AD45C3">
      <w:pPr>
        <w:pStyle w:val="BodyText"/>
        <w:keepNext/>
        <w:spacing w:after="0"/>
      </w:pPr>
      <w:r>
        <w:rPr>
          <w:noProof/>
          <w:lang w:val="en-US"/>
        </w:rPr>
        <w:lastRenderedPageBreak/>
        <w:drawing>
          <wp:inline distT="0" distB="0" distL="0" distR="0">
            <wp:extent cx="4719756" cy="3600000"/>
            <wp:effectExtent l="19050" t="19050" r="23694" b="1950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5" cstate="print"/>
                    <a:srcRect/>
                    <a:stretch>
                      <a:fillRect/>
                    </a:stretch>
                  </pic:blipFill>
                  <pic:spPr bwMode="auto">
                    <a:xfrm>
                      <a:off x="0" y="0"/>
                      <a:ext cx="4719756"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D662F7" w:rsidRDefault="001E61CE" w:rsidP="001E61CE">
      <w:pPr>
        <w:pStyle w:val="Caption"/>
        <w:rPr>
          <w:lang w:val="en-US"/>
        </w:rPr>
      </w:pPr>
      <w:bookmarkStart w:id="87" w:name="_Ref326242472"/>
      <w:bookmarkStart w:id="88" w:name="_Toc338703813"/>
      <w:proofErr w:type="gramStart"/>
      <w:r>
        <w:t xml:space="preserve">Figure </w:t>
      </w:r>
      <w:r w:rsidR="00575CA7">
        <w:fldChar w:fldCharType="begin"/>
      </w:r>
      <w:r>
        <w:instrText xml:space="preserve"> SEQ Figure \* ARABIC </w:instrText>
      </w:r>
      <w:r w:rsidR="00575CA7">
        <w:fldChar w:fldCharType="separate"/>
      </w:r>
      <w:r w:rsidR="00A02D22">
        <w:rPr>
          <w:noProof/>
        </w:rPr>
        <w:t>33</w:t>
      </w:r>
      <w:r w:rsidR="00575CA7">
        <w:fldChar w:fldCharType="end"/>
      </w:r>
      <w:bookmarkEnd w:id="87"/>
      <w:r>
        <w:t>.</w:t>
      </w:r>
      <w:proofErr w:type="gramEnd"/>
      <w:r>
        <w:t xml:space="preserve"> </w:t>
      </w:r>
      <w:proofErr w:type="gramStart"/>
      <w:r>
        <w:t>Examples of traditional activities of CLFN.</w:t>
      </w:r>
      <w:bookmarkEnd w:id="88"/>
      <w:proofErr w:type="gramEnd"/>
    </w:p>
    <w:p w:rsidR="00755007" w:rsidRDefault="00755007" w:rsidP="00D662F7">
      <w:pPr>
        <w:pStyle w:val="BodyText"/>
        <w:rPr>
          <w:lang w:val="en-US"/>
        </w:rPr>
      </w:pPr>
    </w:p>
    <w:p w:rsidR="001E61CE" w:rsidRDefault="00624932" w:rsidP="00AD45C3">
      <w:pPr>
        <w:pStyle w:val="BodyText"/>
        <w:keepNext/>
        <w:spacing w:after="0"/>
      </w:pPr>
      <w:r>
        <w:rPr>
          <w:noProof/>
          <w:lang w:val="en-US"/>
        </w:rPr>
        <w:drawing>
          <wp:inline distT="0" distB="0" distL="0" distR="0">
            <wp:extent cx="4768438" cy="3600000"/>
            <wp:effectExtent l="19050" t="19050" r="13112" b="19500"/>
            <wp:docPr id="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4768438"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755007" w:rsidRDefault="001E61CE" w:rsidP="001E61CE">
      <w:pPr>
        <w:pStyle w:val="Caption"/>
        <w:rPr>
          <w:lang w:val="en-US"/>
        </w:rPr>
      </w:pPr>
      <w:bookmarkStart w:id="89" w:name="_Ref325452788"/>
      <w:bookmarkStart w:id="90" w:name="_Toc338703814"/>
      <w:proofErr w:type="gramStart"/>
      <w:r>
        <w:t xml:space="preserve">Figure </w:t>
      </w:r>
      <w:r w:rsidR="00575CA7">
        <w:fldChar w:fldCharType="begin"/>
      </w:r>
      <w:r>
        <w:instrText xml:space="preserve"> SEQ Figure \* ARABIC </w:instrText>
      </w:r>
      <w:r w:rsidR="00575CA7">
        <w:fldChar w:fldCharType="separate"/>
      </w:r>
      <w:r w:rsidR="00A02D22">
        <w:rPr>
          <w:noProof/>
        </w:rPr>
        <w:t>34</w:t>
      </w:r>
      <w:r w:rsidR="00575CA7">
        <w:fldChar w:fldCharType="end"/>
      </w:r>
      <w:bookmarkEnd w:id="89"/>
      <w:r>
        <w:t>.</w:t>
      </w:r>
      <w:proofErr w:type="gramEnd"/>
      <w:r>
        <w:t xml:space="preserve"> </w:t>
      </w:r>
      <w:r w:rsidR="00450103">
        <w:t xml:space="preserve"> </w:t>
      </w:r>
      <w:proofErr w:type="gramStart"/>
      <w:r>
        <w:t>Examples of</w:t>
      </w:r>
      <w:r w:rsidR="004C53F9">
        <w:t xml:space="preserve"> the</w:t>
      </w:r>
      <w:r>
        <w:t xml:space="preserve"> geography of traditional activities of CLFN</w:t>
      </w:r>
      <w:r w:rsidR="004C53F9">
        <w:t xml:space="preserve"> traditional lands</w:t>
      </w:r>
      <w:r>
        <w:t>.</w:t>
      </w:r>
      <w:proofErr w:type="gramEnd"/>
      <w:r w:rsidR="00660B36">
        <w:t xml:space="preserve"> Source: Cold Lake First Nations Traditional Knowledge Study, 2011.</w:t>
      </w:r>
      <w:bookmarkEnd w:id="90"/>
    </w:p>
    <w:p w:rsidR="00450103" w:rsidRDefault="00AC3596" w:rsidP="00AD45C3">
      <w:pPr>
        <w:pStyle w:val="BodyText"/>
        <w:keepNext/>
        <w:spacing w:after="0"/>
      </w:pPr>
      <w:r>
        <w:lastRenderedPageBreak/>
        <w:t xml:space="preserve"> </w:t>
      </w:r>
      <w:r w:rsidR="00364E51">
        <w:rPr>
          <w:noProof/>
          <w:lang w:val="en-US"/>
        </w:rPr>
        <w:drawing>
          <wp:inline distT="0" distB="0" distL="0" distR="0">
            <wp:extent cx="4778817" cy="3600000"/>
            <wp:effectExtent l="19050" t="19050" r="21783" b="195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srcRect/>
                    <a:stretch>
                      <a:fillRect/>
                    </a:stretch>
                  </pic:blipFill>
                  <pic:spPr bwMode="auto">
                    <a:xfrm>
                      <a:off x="0" y="0"/>
                      <a:ext cx="4778817"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755007" w:rsidRDefault="00450103" w:rsidP="00450103">
      <w:pPr>
        <w:pStyle w:val="Caption"/>
      </w:pPr>
      <w:bookmarkStart w:id="91" w:name="_Ref326242523"/>
      <w:bookmarkStart w:id="92" w:name="_Toc338703815"/>
      <w:proofErr w:type="gramStart"/>
      <w:r>
        <w:t xml:space="preserve">Figure </w:t>
      </w:r>
      <w:r w:rsidR="00575CA7">
        <w:fldChar w:fldCharType="begin"/>
      </w:r>
      <w:r>
        <w:instrText xml:space="preserve"> SEQ Figure \* ARABIC </w:instrText>
      </w:r>
      <w:r w:rsidR="00575CA7">
        <w:fldChar w:fldCharType="separate"/>
      </w:r>
      <w:r w:rsidR="00A02D22">
        <w:rPr>
          <w:noProof/>
        </w:rPr>
        <w:t>35</w:t>
      </w:r>
      <w:r w:rsidR="00575CA7">
        <w:fldChar w:fldCharType="end"/>
      </w:r>
      <w:bookmarkEnd w:id="91"/>
      <w:r w:rsidR="00113848">
        <w:t>.</w:t>
      </w:r>
      <w:proofErr w:type="gramEnd"/>
      <w:r w:rsidR="00113848">
        <w:t xml:space="preserve"> Generalized</w:t>
      </w:r>
      <w:r w:rsidR="006B5214">
        <w:t xml:space="preserve"> map, for illustration only,</w:t>
      </w:r>
      <w:r w:rsidR="00113848">
        <w:t xml:space="preserve"> showing possible movements of CLFN bands in response to spatial-temporal variation in fires and food abundance.</w:t>
      </w:r>
      <w:bookmarkEnd w:id="92"/>
    </w:p>
    <w:p w:rsidR="00C467D3" w:rsidRPr="00C467D3" w:rsidRDefault="00C467D3" w:rsidP="00C467D3">
      <w:pPr>
        <w:rPr>
          <w:lang w:eastAsia="en-CA"/>
        </w:rPr>
      </w:pPr>
    </w:p>
    <w:p w:rsidR="009E47A0" w:rsidRDefault="009E47A0" w:rsidP="00AD45C3">
      <w:pPr>
        <w:pStyle w:val="BodyText"/>
        <w:keepNext/>
        <w:spacing w:after="0"/>
      </w:pPr>
      <w:r>
        <w:rPr>
          <w:noProof/>
          <w:lang w:val="en-US"/>
        </w:rPr>
        <w:drawing>
          <wp:inline distT="0" distB="0" distL="0" distR="0">
            <wp:extent cx="4757499" cy="3600000"/>
            <wp:effectExtent l="19050" t="19050" r="24051" b="19500"/>
            <wp:docPr id="1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8" cstate="print"/>
                    <a:srcRect/>
                    <a:stretch>
                      <a:fillRect/>
                    </a:stretch>
                  </pic:blipFill>
                  <pic:spPr bwMode="auto">
                    <a:xfrm>
                      <a:off x="0" y="0"/>
                      <a:ext cx="4757499"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9E47A0" w:rsidRDefault="009E47A0" w:rsidP="009E47A0">
      <w:pPr>
        <w:pStyle w:val="Caption"/>
        <w:rPr>
          <w:lang w:val="en-US"/>
        </w:rPr>
      </w:pPr>
      <w:bookmarkStart w:id="93" w:name="_Ref325617469"/>
      <w:bookmarkStart w:id="94" w:name="_Toc338703816"/>
      <w:proofErr w:type="gramStart"/>
      <w:r>
        <w:t xml:space="preserve">Figure </w:t>
      </w:r>
      <w:fldSimple w:instr=" SEQ Figure \* ARABIC ">
        <w:r w:rsidR="00A02D22">
          <w:rPr>
            <w:noProof/>
          </w:rPr>
          <w:t>36</w:t>
        </w:r>
      </w:fldSimple>
      <w:bookmarkEnd w:id="93"/>
      <w:r>
        <w:t>.</w:t>
      </w:r>
      <w:proofErr w:type="gramEnd"/>
      <w:r>
        <w:t xml:space="preserve"> </w:t>
      </w:r>
      <w:proofErr w:type="gramStart"/>
      <w:r>
        <w:t xml:space="preserve">Spatial constraint of traditional activities of CLFN from CLAWR to </w:t>
      </w:r>
      <w:r w:rsidR="00064876">
        <w:t xml:space="preserve">the </w:t>
      </w:r>
      <w:r>
        <w:t>north and agriculture to the south.</w:t>
      </w:r>
      <w:bookmarkEnd w:id="94"/>
      <w:proofErr w:type="gramEnd"/>
    </w:p>
    <w:p w:rsidR="00686C0E" w:rsidRDefault="00686C0E" w:rsidP="00AD45C3">
      <w:pPr>
        <w:pStyle w:val="BodyText"/>
        <w:keepNext/>
        <w:spacing w:after="0"/>
      </w:pPr>
      <w:r>
        <w:rPr>
          <w:noProof/>
          <w:lang w:val="en-US"/>
        </w:rPr>
        <w:lastRenderedPageBreak/>
        <w:drawing>
          <wp:inline distT="0" distB="0" distL="0" distR="0">
            <wp:extent cx="5997604" cy="7761605"/>
            <wp:effectExtent l="19050" t="0" r="3146" b="0"/>
            <wp:docPr id="4" name="Picture 21" descr="C:\Users\Brad\AppData\Local\Microsoft\Windows\Temporary Internet Files\Content.Outlook\GXZ0MIL5\CLFN Traditional Use All Features Formal Map May 24-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rad\AppData\Local\Microsoft\Windows\Temporary Internet Files\Content.Outlook\GXZ0MIL5\CLFN Traditional Use All Features Formal Map May 24-2012.png"/>
                    <pic:cNvPicPr>
                      <a:picLocks noChangeAspect="1" noChangeArrowheads="1"/>
                    </pic:cNvPicPr>
                  </pic:nvPicPr>
                  <pic:blipFill>
                    <a:blip r:embed="rId49" cstate="print"/>
                    <a:srcRect/>
                    <a:stretch>
                      <a:fillRect/>
                    </a:stretch>
                  </pic:blipFill>
                  <pic:spPr bwMode="auto">
                    <a:xfrm>
                      <a:off x="0" y="0"/>
                      <a:ext cx="5997301" cy="7761213"/>
                    </a:xfrm>
                    <a:prstGeom prst="rect">
                      <a:avLst/>
                    </a:prstGeom>
                    <a:noFill/>
                    <a:ln w="9525">
                      <a:noFill/>
                      <a:miter lim="800000"/>
                      <a:headEnd/>
                      <a:tailEnd/>
                    </a:ln>
                  </pic:spPr>
                </pic:pic>
              </a:graphicData>
            </a:graphic>
          </wp:inline>
        </w:drawing>
      </w:r>
    </w:p>
    <w:p w:rsidR="00660B36" w:rsidRDefault="00686C0E" w:rsidP="00660B36">
      <w:pPr>
        <w:pStyle w:val="Caption"/>
        <w:rPr>
          <w:lang w:val="en-US"/>
        </w:rPr>
      </w:pPr>
      <w:bookmarkStart w:id="95" w:name="_Ref325617666"/>
      <w:bookmarkStart w:id="96" w:name="_Toc338703817"/>
      <w:proofErr w:type="gramStart"/>
      <w:r>
        <w:t xml:space="preserve">Figure </w:t>
      </w:r>
      <w:fldSimple w:instr=" SEQ Figure \* ARABIC ">
        <w:r w:rsidR="00A02D22">
          <w:rPr>
            <w:noProof/>
          </w:rPr>
          <w:t>37</w:t>
        </w:r>
      </w:fldSimple>
      <w:bookmarkEnd w:id="95"/>
      <w:r w:rsidR="009E47A0">
        <w:t>.</w:t>
      </w:r>
      <w:proofErr w:type="gramEnd"/>
      <w:r w:rsidR="009E47A0">
        <w:t xml:space="preserve"> </w:t>
      </w:r>
      <w:proofErr w:type="gramStart"/>
      <w:r w:rsidR="009E47A0">
        <w:t>Historical network o</w:t>
      </w:r>
      <w:r w:rsidR="00660B36">
        <w:t>f traditional features and transportation</w:t>
      </w:r>
      <w:r w:rsidR="009E47A0">
        <w:t xml:space="preserve"> networks</w:t>
      </w:r>
      <w:r w:rsidR="004C53F9">
        <w:t xml:space="preserve"> of the traditional lands of CLFN</w:t>
      </w:r>
      <w:r w:rsidR="009E47A0">
        <w:t>.</w:t>
      </w:r>
      <w:proofErr w:type="gramEnd"/>
      <w:r w:rsidR="00660B36">
        <w:t xml:space="preserve"> Source: Cold Lake First Nations Traditional Knowledge Study, 2011.</w:t>
      </w:r>
      <w:bookmarkEnd w:id="96"/>
    </w:p>
    <w:p w:rsidR="00686C0E" w:rsidRDefault="00686C0E" w:rsidP="00686C0E">
      <w:pPr>
        <w:pStyle w:val="Caption"/>
      </w:pPr>
    </w:p>
    <w:p w:rsidR="001E61CE" w:rsidRDefault="00755007" w:rsidP="00AD45C3">
      <w:pPr>
        <w:pStyle w:val="BodyText"/>
        <w:keepNext/>
        <w:spacing w:after="0"/>
      </w:pPr>
      <w:r>
        <w:rPr>
          <w:noProof/>
          <w:lang w:val="en-US"/>
        </w:rPr>
        <w:lastRenderedPageBreak/>
        <w:drawing>
          <wp:inline distT="0" distB="0" distL="0" distR="0">
            <wp:extent cx="4756492" cy="3600000"/>
            <wp:effectExtent l="19050" t="19050" r="25058" b="1950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50" cstate="print"/>
                    <a:stretch>
                      <a:fillRect/>
                    </a:stretch>
                  </pic:blipFill>
                  <pic:spPr bwMode="auto">
                    <a:xfrm>
                      <a:off x="0" y="0"/>
                      <a:ext cx="4756492"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660B36" w:rsidRDefault="001E61CE" w:rsidP="00660B36">
      <w:pPr>
        <w:pStyle w:val="Caption"/>
      </w:pPr>
      <w:bookmarkStart w:id="97" w:name="_Ref325452731"/>
      <w:bookmarkStart w:id="98" w:name="_Toc338703818"/>
      <w:proofErr w:type="gramStart"/>
      <w:r>
        <w:t xml:space="preserve">Figure </w:t>
      </w:r>
      <w:r w:rsidR="00575CA7">
        <w:fldChar w:fldCharType="begin"/>
      </w:r>
      <w:r>
        <w:instrText xml:space="preserve"> SEQ Figure \* ARABIC </w:instrText>
      </w:r>
      <w:r w:rsidR="00575CA7">
        <w:fldChar w:fldCharType="separate"/>
      </w:r>
      <w:r w:rsidR="00A02D22">
        <w:rPr>
          <w:noProof/>
        </w:rPr>
        <w:t>38</w:t>
      </w:r>
      <w:r w:rsidR="00575CA7">
        <w:fldChar w:fldCharType="end"/>
      </w:r>
      <w:bookmarkEnd w:id="97"/>
      <w:r>
        <w:t>.</w:t>
      </w:r>
      <w:proofErr w:type="gramEnd"/>
      <w:r w:rsidR="00450103">
        <w:t xml:space="preserve"> </w:t>
      </w:r>
      <w:r>
        <w:t xml:space="preserve"> </w:t>
      </w:r>
      <w:proofErr w:type="gramStart"/>
      <w:r w:rsidR="00450103">
        <w:t>D</w:t>
      </w:r>
      <w:r>
        <w:t>istribution of traditional activities near Cold Lake.</w:t>
      </w:r>
      <w:proofErr w:type="gramEnd"/>
      <w:r w:rsidR="00660B36">
        <w:t xml:space="preserve"> Source: Cold Lake First Nations Traditional Knowledge Study, 2011.</w:t>
      </w:r>
      <w:bookmarkEnd w:id="98"/>
    </w:p>
    <w:p w:rsidR="00E77828" w:rsidRPr="00E77828" w:rsidRDefault="00E77828" w:rsidP="00E77828">
      <w:pPr>
        <w:rPr>
          <w:lang w:eastAsia="en-CA"/>
        </w:rPr>
      </w:pPr>
    </w:p>
    <w:p w:rsidR="001E61CE" w:rsidRDefault="00755007" w:rsidP="00AD45C3">
      <w:pPr>
        <w:pStyle w:val="BodyText"/>
        <w:keepNext/>
        <w:spacing w:after="0"/>
      </w:pPr>
      <w:r>
        <w:rPr>
          <w:noProof/>
          <w:lang w:val="en-US"/>
        </w:rPr>
        <w:drawing>
          <wp:inline distT="0" distB="0" distL="0" distR="0">
            <wp:extent cx="4752076" cy="3600000"/>
            <wp:effectExtent l="19050" t="19050" r="10424" b="1950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51" cstate="print"/>
                    <a:srcRect/>
                    <a:stretch>
                      <a:fillRect/>
                    </a:stretch>
                  </pic:blipFill>
                  <pic:spPr bwMode="auto">
                    <a:xfrm>
                      <a:off x="0" y="0"/>
                      <a:ext cx="4752076"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660B36" w:rsidRDefault="001E61CE" w:rsidP="00660B36">
      <w:pPr>
        <w:pStyle w:val="Caption"/>
        <w:rPr>
          <w:lang w:val="en-US"/>
        </w:rPr>
      </w:pPr>
      <w:bookmarkStart w:id="99" w:name="_Ref325452732"/>
      <w:bookmarkStart w:id="100" w:name="_Toc338703819"/>
      <w:proofErr w:type="gramStart"/>
      <w:r>
        <w:t xml:space="preserve">Figure </w:t>
      </w:r>
      <w:r w:rsidR="00575CA7">
        <w:fldChar w:fldCharType="begin"/>
      </w:r>
      <w:r>
        <w:instrText xml:space="preserve"> SEQ Figure \* ARABIC </w:instrText>
      </w:r>
      <w:r w:rsidR="00575CA7">
        <w:fldChar w:fldCharType="separate"/>
      </w:r>
      <w:r w:rsidR="00A02D22">
        <w:rPr>
          <w:noProof/>
        </w:rPr>
        <w:t>39</w:t>
      </w:r>
      <w:r w:rsidR="00575CA7">
        <w:fldChar w:fldCharType="end"/>
      </w:r>
      <w:bookmarkEnd w:id="99"/>
      <w:r>
        <w:t>.</w:t>
      </w:r>
      <w:proofErr w:type="gramEnd"/>
      <w:r>
        <w:t xml:space="preserve"> </w:t>
      </w:r>
      <w:proofErr w:type="gramStart"/>
      <w:r w:rsidR="00450103">
        <w:t>D</w:t>
      </w:r>
      <w:r>
        <w:t>istribution of traditional activities near Primrose Lake</w:t>
      </w:r>
      <w:r w:rsidR="00450103">
        <w:t>.</w:t>
      </w:r>
      <w:proofErr w:type="gramEnd"/>
      <w:r w:rsidR="00660B36">
        <w:t xml:space="preserve"> Source: Cold Lake First Nations Traditional Knowledge Study, 2011.</w:t>
      </w:r>
      <w:bookmarkEnd w:id="100"/>
    </w:p>
    <w:p w:rsidR="00755007" w:rsidRDefault="00755007" w:rsidP="001E61CE">
      <w:pPr>
        <w:pStyle w:val="Caption"/>
        <w:rPr>
          <w:lang w:val="en-US"/>
        </w:rPr>
      </w:pPr>
    </w:p>
    <w:p w:rsidR="001E61CE" w:rsidRDefault="00755007" w:rsidP="00AD45C3">
      <w:pPr>
        <w:pStyle w:val="BodyText"/>
        <w:keepNext/>
        <w:spacing w:after="0"/>
      </w:pPr>
      <w:r>
        <w:rPr>
          <w:noProof/>
          <w:lang w:val="en-US"/>
        </w:rPr>
        <w:lastRenderedPageBreak/>
        <w:drawing>
          <wp:inline distT="0" distB="0" distL="0" distR="0">
            <wp:extent cx="4757284" cy="3600000"/>
            <wp:effectExtent l="19050" t="19050" r="24266" b="1950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52" cstate="print"/>
                    <a:srcRect/>
                    <a:stretch>
                      <a:fillRect/>
                    </a:stretch>
                  </pic:blipFill>
                  <pic:spPr bwMode="auto">
                    <a:xfrm>
                      <a:off x="0" y="0"/>
                      <a:ext cx="4757284"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BE647F" w:rsidRDefault="001E61CE" w:rsidP="0053340D">
      <w:pPr>
        <w:pStyle w:val="Caption"/>
      </w:pPr>
      <w:bookmarkStart w:id="101" w:name="_Ref326243385"/>
      <w:bookmarkStart w:id="102" w:name="_Toc338703820"/>
      <w:proofErr w:type="gramStart"/>
      <w:r>
        <w:t xml:space="preserve">Figure </w:t>
      </w:r>
      <w:r w:rsidR="00575CA7">
        <w:fldChar w:fldCharType="begin"/>
      </w:r>
      <w:r>
        <w:instrText xml:space="preserve"> SEQ Figure \* ARABIC </w:instrText>
      </w:r>
      <w:r w:rsidR="00575CA7">
        <w:fldChar w:fldCharType="separate"/>
      </w:r>
      <w:r w:rsidR="00A02D22">
        <w:rPr>
          <w:noProof/>
        </w:rPr>
        <w:t>40</w:t>
      </w:r>
      <w:r w:rsidR="00575CA7">
        <w:fldChar w:fldCharType="end"/>
      </w:r>
      <w:bookmarkEnd w:id="101"/>
      <w:r>
        <w:t>.</w:t>
      </w:r>
      <w:proofErr w:type="gramEnd"/>
      <w:r>
        <w:t xml:space="preserve"> </w:t>
      </w:r>
      <w:proofErr w:type="gramStart"/>
      <w:r>
        <w:t>Distribution and metrics of CLFN cultural features.</w:t>
      </w:r>
      <w:bookmarkEnd w:id="102"/>
      <w:proofErr w:type="gramEnd"/>
    </w:p>
    <w:p w:rsidR="00C467D3" w:rsidRPr="00C467D3" w:rsidRDefault="00C467D3" w:rsidP="00C467D3">
      <w:pPr>
        <w:rPr>
          <w:lang w:eastAsia="en-CA"/>
        </w:rPr>
      </w:pPr>
    </w:p>
    <w:p w:rsidR="001E61CE" w:rsidRDefault="00BE647F" w:rsidP="00AD45C3">
      <w:pPr>
        <w:pStyle w:val="BodyText"/>
        <w:keepNext/>
        <w:spacing w:after="0"/>
      </w:pPr>
      <w:r>
        <w:rPr>
          <w:noProof/>
          <w:lang w:val="en-US"/>
        </w:rPr>
        <w:drawing>
          <wp:inline distT="0" distB="0" distL="0" distR="0">
            <wp:extent cx="4759282" cy="3600000"/>
            <wp:effectExtent l="19050" t="19050" r="22268" b="1950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53" cstate="print"/>
                    <a:srcRect/>
                    <a:stretch>
                      <a:fillRect/>
                    </a:stretch>
                  </pic:blipFill>
                  <pic:spPr bwMode="auto">
                    <a:xfrm>
                      <a:off x="0" y="0"/>
                      <a:ext cx="4759282"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BE647F" w:rsidRDefault="001E61CE" w:rsidP="001E61CE">
      <w:pPr>
        <w:pStyle w:val="Caption"/>
        <w:rPr>
          <w:lang w:val="en-US"/>
        </w:rPr>
      </w:pPr>
      <w:bookmarkStart w:id="103" w:name="_Ref325453589"/>
      <w:bookmarkStart w:id="104" w:name="_Toc338703821"/>
      <w:proofErr w:type="gramStart"/>
      <w:r>
        <w:t xml:space="preserve">Figure </w:t>
      </w:r>
      <w:r w:rsidR="00575CA7">
        <w:fldChar w:fldCharType="begin"/>
      </w:r>
      <w:r>
        <w:instrText xml:space="preserve"> SEQ Figure \* ARABIC </w:instrText>
      </w:r>
      <w:r w:rsidR="00575CA7">
        <w:fldChar w:fldCharType="separate"/>
      </w:r>
      <w:r w:rsidR="00A02D22">
        <w:rPr>
          <w:noProof/>
        </w:rPr>
        <w:t>41</w:t>
      </w:r>
      <w:r w:rsidR="00575CA7">
        <w:fldChar w:fldCharType="end"/>
      </w:r>
      <w:bookmarkEnd w:id="103"/>
      <w:r w:rsidR="00906CF1">
        <w:t>.</w:t>
      </w:r>
      <w:proofErr w:type="gramEnd"/>
      <w:r w:rsidR="00906CF1">
        <w:t xml:space="preserve"> Buffered traditional features (cultural sites and transportation networks) illustrating locations of focus for traditional CLFN </w:t>
      </w:r>
      <w:r w:rsidR="004C53F9">
        <w:t xml:space="preserve">SA </w:t>
      </w:r>
      <w:r w:rsidR="00906CF1">
        <w:t>activities.</w:t>
      </w:r>
      <w:bookmarkEnd w:id="104"/>
    </w:p>
    <w:p w:rsidR="00BE647F" w:rsidRDefault="00906CF1" w:rsidP="00D662F7">
      <w:pPr>
        <w:pStyle w:val="BodyText"/>
        <w:rPr>
          <w:lang w:val="en-US"/>
        </w:rPr>
      </w:pPr>
      <w:r>
        <w:rPr>
          <w:lang w:val="en-US"/>
        </w:rPr>
        <w:t xml:space="preserve"> </w:t>
      </w:r>
    </w:p>
    <w:p w:rsidR="00793B35" w:rsidRDefault="00793B35" w:rsidP="00AD45C3">
      <w:pPr>
        <w:pStyle w:val="BodyText"/>
        <w:keepNext/>
        <w:spacing w:after="0"/>
      </w:pPr>
    </w:p>
    <w:p w:rsidR="00793B35" w:rsidRDefault="00793B35" w:rsidP="00AD45C3">
      <w:pPr>
        <w:pStyle w:val="BodyText"/>
        <w:keepNext/>
        <w:spacing w:after="0"/>
      </w:pPr>
    </w:p>
    <w:p w:rsidR="00793B35" w:rsidRDefault="00793B35" w:rsidP="00AD45C3">
      <w:pPr>
        <w:pStyle w:val="BodyText"/>
        <w:keepNext/>
        <w:spacing w:after="0"/>
      </w:pPr>
    </w:p>
    <w:p w:rsidR="00B113FE" w:rsidRDefault="00727AA0" w:rsidP="00E77828">
      <w:pPr>
        <w:pStyle w:val="BodyText"/>
        <w:keepNext/>
        <w:spacing w:after="0"/>
        <w:jc w:val="both"/>
      </w:pPr>
      <w:r w:rsidRPr="00727AA0">
        <w:rPr>
          <w:noProof/>
          <w:lang w:val="en-US"/>
        </w:rPr>
        <w:drawing>
          <wp:inline distT="0" distB="0" distL="0" distR="0">
            <wp:extent cx="5722882" cy="7453805"/>
            <wp:effectExtent l="19050" t="0" r="0" b="0"/>
            <wp:docPr id="43"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402497" cy="8285584"/>
                      <a:chOff x="1691680" y="-603448"/>
                      <a:chExt cx="6402497" cy="8285584"/>
                    </a:xfrm>
                  </a:grpSpPr>
                  <a:grpSp>
                    <a:nvGrpSpPr>
                      <a:cNvPr id="15" name="Group 14"/>
                      <a:cNvGrpSpPr/>
                    </a:nvGrpSpPr>
                    <a:grpSpPr>
                      <a:xfrm>
                        <a:off x="1691680" y="-603448"/>
                        <a:ext cx="6402497" cy="8285584"/>
                        <a:chOff x="1691680" y="-603448"/>
                        <a:chExt cx="6402497" cy="8285584"/>
                      </a:xfrm>
                    </a:grpSpPr>
                    <a:pic>
                      <a:nvPicPr>
                        <a:cNvPr id="2896898" name="Picture 2"/>
                        <a:cNvPicPr>
                          <a:picLocks noChangeAspect="1" noChangeArrowheads="1"/>
                        </a:cNvPicPr>
                      </a:nvPicPr>
                      <a:blipFill>
                        <a:blip r:embed="rId54" cstate="print"/>
                        <a:srcRect/>
                        <a:stretch>
                          <a:fillRect/>
                        </a:stretch>
                      </a:blipFill>
                      <a:spPr bwMode="auto">
                        <a:xfrm>
                          <a:off x="1691680" y="-603448"/>
                          <a:ext cx="6402497" cy="8285584"/>
                        </a:xfrm>
                        <a:prstGeom prst="rect">
                          <a:avLst/>
                        </a:prstGeom>
                        <a:noFill/>
                        <a:ln w="9525">
                          <a:noFill/>
                          <a:miter lim="800000"/>
                          <a:headEnd/>
                          <a:tailEnd/>
                        </a:ln>
                        <a:effectLst/>
                      </a:spPr>
                    </a:pic>
                    <a:sp>
                      <a:nvSpPr>
                        <a:cNvPr id="4" name="TextBox 3"/>
                        <a:cNvSpPr txBox="1"/>
                      </a:nvSpPr>
                      <a:spPr>
                        <a:xfrm>
                          <a:off x="6443920" y="4273350"/>
                          <a:ext cx="1512456" cy="307777"/>
                        </a:xfrm>
                        <a:prstGeom prst="rect">
                          <a:avLst/>
                        </a:prstGeom>
                        <a:solidFill>
                          <a:schemeClr val="bg1">
                            <a:lumMod val="65000"/>
                          </a:schemeClr>
                        </a:solidFill>
                        <a:ln>
                          <a:solidFill>
                            <a:schemeClr val="tx1"/>
                          </a:solidFill>
                        </a:ln>
                        <a:effectLst>
                          <a:innerShdw blurRad="114300">
                            <a:prstClr val="black"/>
                          </a:innerShdw>
                        </a:effectLst>
                      </a:spPr>
                      <a:txSp>
                        <a:txBody>
                          <a:bodyPr wrap="square" tIns="0"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dirty="0" smtClean="0"/>
                              <a:t>LeGoff</a:t>
                            </a:r>
                          </a:p>
                          <a:p>
                            <a:pPr algn="ctr"/>
                            <a:r>
                              <a:rPr lang="en-US" sz="1000" dirty="0" smtClean="0"/>
                              <a:t>(Reserve 149; 145 km</a:t>
                            </a:r>
                            <a:r>
                              <a:rPr lang="en-US" sz="1000" baseline="30000" dirty="0" smtClean="0"/>
                              <a:t>2</a:t>
                            </a:r>
                            <a:r>
                              <a:rPr lang="en-US" sz="1000" dirty="0" smtClean="0"/>
                              <a:t>)</a:t>
                            </a:r>
                            <a:endParaRPr lang="en-US" sz="1000" dirty="0"/>
                          </a:p>
                        </a:txBody>
                        <a:useSpRect/>
                      </a:txSp>
                    </a:sp>
                    <a:sp>
                      <a:nvSpPr>
                        <a:cNvPr id="5" name="TextBox 4"/>
                        <a:cNvSpPr txBox="1"/>
                      </a:nvSpPr>
                      <a:spPr>
                        <a:xfrm>
                          <a:off x="6443920" y="3769294"/>
                          <a:ext cx="1506101" cy="307777"/>
                        </a:xfrm>
                        <a:prstGeom prst="rect">
                          <a:avLst/>
                        </a:prstGeom>
                        <a:solidFill>
                          <a:schemeClr val="bg1">
                            <a:lumMod val="65000"/>
                          </a:schemeClr>
                        </a:solidFill>
                        <a:ln>
                          <a:solidFill>
                            <a:schemeClr val="tx1"/>
                          </a:solidFill>
                        </a:ln>
                        <a:effectLst>
                          <a:innerShdw blurRad="114300">
                            <a:prstClr val="black"/>
                          </a:innerShdw>
                        </a:effectLst>
                      </a:spPr>
                      <a:txSp>
                        <a:txBody>
                          <a:bodyPr wrap="square" tIns="0"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dirty="0" smtClean="0"/>
                              <a:t>The Little Reserve</a:t>
                            </a:r>
                          </a:p>
                          <a:p>
                            <a:pPr algn="ctr"/>
                            <a:r>
                              <a:rPr lang="en-US" sz="1000" dirty="0" smtClean="0"/>
                              <a:t>(Reserve 149A; 0.72 km</a:t>
                            </a:r>
                            <a:r>
                              <a:rPr lang="en-US" sz="1000" baseline="30000" dirty="0" smtClean="0"/>
                              <a:t>2</a:t>
                            </a:r>
                            <a:r>
                              <a:rPr lang="en-US" sz="1000" dirty="0" smtClean="0"/>
                              <a:t>)</a:t>
                            </a:r>
                            <a:endParaRPr lang="en-US" sz="1000" dirty="0"/>
                          </a:p>
                        </a:txBody>
                        <a:useSpRect/>
                      </a:txSp>
                    </a:sp>
                    <a:sp>
                      <a:nvSpPr>
                        <a:cNvPr id="6" name="TextBox 5"/>
                        <a:cNvSpPr txBox="1"/>
                      </a:nvSpPr>
                      <a:spPr>
                        <a:xfrm>
                          <a:off x="6443920" y="2996952"/>
                          <a:ext cx="1506101" cy="307777"/>
                        </a:xfrm>
                        <a:prstGeom prst="rect">
                          <a:avLst/>
                        </a:prstGeom>
                        <a:solidFill>
                          <a:schemeClr val="bg1">
                            <a:lumMod val="65000"/>
                          </a:schemeClr>
                        </a:solidFill>
                        <a:ln>
                          <a:solidFill>
                            <a:schemeClr val="tx1"/>
                          </a:solidFill>
                        </a:ln>
                        <a:effectLst>
                          <a:innerShdw blurRad="114300">
                            <a:prstClr val="black"/>
                          </a:innerShdw>
                        </a:effectLst>
                      </a:spPr>
                      <a:txSp>
                        <a:txBody>
                          <a:bodyPr wrap="square" lIns="0" tIns="0" rIns="0"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dirty="0" smtClean="0"/>
                              <a:t>Martineau; The New Reserve</a:t>
                            </a:r>
                          </a:p>
                          <a:p>
                            <a:pPr algn="ctr"/>
                            <a:r>
                              <a:rPr lang="en-US" sz="1000" dirty="0" smtClean="0"/>
                              <a:t>(Reserve 149C; 20.2 km</a:t>
                            </a:r>
                            <a:r>
                              <a:rPr lang="en-US" sz="1000" baseline="30000" dirty="0" smtClean="0"/>
                              <a:t>2</a:t>
                            </a:r>
                            <a:r>
                              <a:rPr lang="en-US" sz="1000" dirty="0" smtClean="0"/>
                              <a:t>)</a:t>
                            </a:r>
                            <a:endParaRPr lang="en-US" sz="1000" dirty="0"/>
                          </a:p>
                        </a:txBody>
                        <a:useSpRect/>
                      </a:txSp>
                    </a:sp>
                    <a:sp>
                      <a:nvSpPr>
                        <a:cNvPr id="7" name="TextBox 6"/>
                        <a:cNvSpPr txBox="1"/>
                      </a:nvSpPr>
                      <a:spPr>
                        <a:xfrm>
                          <a:off x="6443920" y="3382218"/>
                          <a:ext cx="1506101" cy="307777"/>
                        </a:xfrm>
                        <a:prstGeom prst="rect">
                          <a:avLst/>
                        </a:prstGeom>
                        <a:solidFill>
                          <a:schemeClr val="bg1">
                            <a:lumMod val="65000"/>
                          </a:schemeClr>
                        </a:solidFill>
                        <a:ln>
                          <a:solidFill>
                            <a:schemeClr val="tx1"/>
                          </a:solidFill>
                        </a:ln>
                        <a:effectLst>
                          <a:innerShdw blurRad="114300">
                            <a:prstClr val="black"/>
                          </a:innerShdw>
                        </a:effectLst>
                      </a:spPr>
                      <a:txSp>
                        <a:txBody>
                          <a:bodyPr wrap="square" tIns="0"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dirty="0" smtClean="0"/>
                              <a:t>English Bay</a:t>
                            </a:r>
                          </a:p>
                          <a:p>
                            <a:pPr algn="ctr"/>
                            <a:r>
                              <a:rPr lang="en-US" sz="1000" dirty="0" smtClean="0"/>
                              <a:t>(Reserve 149B; 41.3 km</a:t>
                            </a:r>
                            <a:r>
                              <a:rPr lang="en-US" sz="1000" baseline="30000" dirty="0" smtClean="0"/>
                              <a:t>2</a:t>
                            </a:r>
                            <a:r>
                              <a:rPr lang="en-US" sz="1000" dirty="0" smtClean="0"/>
                              <a:t>)</a:t>
                            </a:r>
                            <a:endParaRPr lang="en-US" sz="1000" dirty="0"/>
                          </a:p>
                        </a:txBody>
                        <a:useSpRect/>
                      </a:txSp>
                    </a:sp>
                    <a:cxnSp>
                      <a:nvCxnSpPr>
                        <a:cNvPr id="8" name="Straight Arrow Connector 7"/>
                        <a:cNvCxnSpPr>
                          <a:stCxn id="5" idx="1"/>
                        </a:cNvCxnSpPr>
                      </a:nvCxnSpPr>
                      <a:spPr>
                        <a:xfrm flipH="1">
                          <a:off x="5931244" y="3923183"/>
                          <a:ext cx="512676" cy="55694"/>
                        </a:xfrm>
                        <a:prstGeom prst="straightConnector1">
                          <a:avLst/>
                        </a:prstGeom>
                        <a:ln w="19050">
                          <a:solidFill>
                            <a:srgbClr val="FF0000"/>
                          </a:solidFill>
                          <a:tailEnd type="arrow"/>
                        </a:ln>
                        <a:scene3d>
                          <a:camera prst="orthographicFront"/>
                          <a:lightRig rig="threePt" dir="t"/>
                        </a:scene3d>
                        <a:sp3d>
                          <a:bevelT/>
                        </a:sp3d>
                      </a:spPr>
                      <a:style>
                        <a:lnRef idx="1">
                          <a:schemeClr val="accent1"/>
                        </a:lnRef>
                        <a:fillRef idx="0">
                          <a:schemeClr val="accent1"/>
                        </a:fillRef>
                        <a:effectRef idx="0">
                          <a:schemeClr val="accent1"/>
                        </a:effectRef>
                        <a:fontRef idx="minor">
                          <a:schemeClr val="tx1"/>
                        </a:fontRef>
                      </a:style>
                    </a:cxnSp>
                    <a:cxnSp>
                      <a:nvCxnSpPr>
                        <a:cNvPr id="9" name="Straight Arrow Connector 8"/>
                        <a:cNvCxnSpPr>
                          <a:stCxn id="4" idx="1"/>
                        </a:cNvCxnSpPr>
                      </a:nvCxnSpPr>
                      <a:spPr>
                        <a:xfrm flipH="1">
                          <a:off x="5868144" y="4427239"/>
                          <a:ext cx="575776" cy="9872"/>
                        </a:xfrm>
                        <a:prstGeom prst="straightConnector1">
                          <a:avLst/>
                        </a:prstGeom>
                        <a:ln w="19050">
                          <a:solidFill>
                            <a:srgbClr val="FF0000"/>
                          </a:solidFill>
                          <a:tailEnd type="arrow"/>
                        </a:ln>
                        <a:scene3d>
                          <a:camera prst="orthographicFront"/>
                          <a:lightRig rig="threePt" dir="t"/>
                        </a:scene3d>
                        <a:sp3d>
                          <a:bevelT/>
                        </a:sp3d>
                      </a:spPr>
                      <a:style>
                        <a:lnRef idx="1">
                          <a:schemeClr val="accent1"/>
                        </a:lnRef>
                        <a:fillRef idx="0">
                          <a:schemeClr val="accent1"/>
                        </a:fillRef>
                        <a:effectRef idx="0">
                          <a:schemeClr val="accent1"/>
                        </a:effectRef>
                        <a:fontRef idx="minor">
                          <a:schemeClr val="tx1"/>
                        </a:fontRef>
                      </a:style>
                    </a:cxnSp>
                    <a:cxnSp>
                      <a:nvCxnSpPr>
                        <a:cNvPr id="10" name="Straight Arrow Connector 9"/>
                        <a:cNvCxnSpPr>
                          <a:stCxn id="7" idx="1"/>
                        </a:cNvCxnSpPr>
                      </a:nvCxnSpPr>
                      <a:spPr>
                        <a:xfrm flipH="1">
                          <a:off x="5832389" y="3536107"/>
                          <a:ext cx="611531" cy="220347"/>
                        </a:xfrm>
                        <a:prstGeom prst="straightConnector1">
                          <a:avLst/>
                        </a:prstGeom>
                        <a:ln w="19050">
                          <a:solidFill>
                            <a:srgbClr val="FF0000"/>
                          </a:solidFill>
                          <a:tailEnd type="arrow"/>
                        </a:ln>
                        <a:scene3d>
                          <a:camera prst="orthographicFront"/>
                          <a:lightRig rig="threePt" dir="t"/>
                        </a:scene3d>
                        <a:sp3d>
                          <a:bevelT/>
                        </a:sp3d>
                      </a:spPr>
                      <a:style>
                        <a:lnRef idx="1">
                          <a:schemeClr val="accent1"/>
                        </a:lnRef>
                        <a:fillRef idx="0">
                          <a:schemeClr val="accent1"/>
                        </a:fillRef>
                        <a:effectRef idx="0">
                          <a:schemeClr val="accent1"/>
                        </a:effectRef>
                        <a:fontRef idx="minor">
                          <a:schemeClr val="tx1"/>
                        </a:fontRef>
                      </a:style>
                    </a:cxnSp>
                    <a:cxnSp>
                      <a:nvCxnSpPr>
                        <a:cNvPr id="11" name="Straight Arrow Connector 10"/>
                        <a:cNvCxnSpPr>
                          <a:stCxn id="6" idx="1"/>
                        </a:cNvCxnSpPr>
                      </a:nvCxnSpPr>
                      <a:spPr>
                        <a:xfrm flipH="1">
                          <a:off x="6128952" y="3150841"/>
                          <a:ext cx="314968" cy="12490"/>
                        </a:xfrm>
                        <a:prstGeom prst="straightConnector1">
                          <a:avLst/>
                        </a:prstGeom>
                        <a:ln w="19050">
                          <a:solidFill>
                            <a:srgbClr val="FF0000"/>
                          </a:solidFill>
                          <a:tailEnd type="arrow"/>
                        </a:ln>
                        <a:scene3d>
                          <a:camera prst="orthographicFront"/>
                          <a:lightRig rig="threePt" dir="t"/>
                        </a:scene3d>
                        <a:sp3d>
                          <a:bevelT/>
                        </a:sp3d>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BE647F" w:rsidRDefault="00B113FE" w:rsidP="00B113FE">
      <w:pPr>
        <w:pStyle w:val="Caption"/>
      </w:pPr>
      <w:bookmarkStart w:id="105" w:name="_Ref325558769"/>
      <w:bookmarkStart w:id="106" w:name="_Toc338703822"/>
      <w:proofErr w:type="gramStart"/>
      <w:r>
        <w:t xml:space="preserve">Figure </w:t>
      </w:r>
      <w:fldSimple w:instr=" SEQ Figure \* ARABIC ">
        <w:r w:rsidR="00A02D22">
          <w:rPr>
            <w:noProof/>
          </w:rPr>
          <w:t>42</w:t>
        </w:r>
      </w:fldSimple>
      <w:bookmarkEnd w:id="105"/>
      <w:r>
        <w:t>.</w:t>
      </w:r>
      <w:proofErr w:type="gramEnd"/>
      <w:r>
        <w:t xml:space="preserve"> Network of </w:t>
      </w:r>
      <w:r w:rsidR="00202A19">
        <w:t xml:space="preserve">existing </w:t>
      </w:r>
      <w:r w:rsidR="009A7EE0">
        <w:t>reserves</w:t>
      </w:r>
      <w:r>
        <w:t xml:space="preserve"> within the CLFN</w:t>
      </w:r>
      <w:r w:rsidR="004C53F9">
        <w:t xml:space="preserve"> SA</w:t>
      </w:r>
      <w:r>
        <w:t>.</w:t>
      </w:r>
      <w:bookmarkEnd w:id="106"/>
    </w:p>
    <w:p w:rsidR="009437EB" w:rsidRDefault="009437EB" w:rsidP="009437EB">
      <w:pPr>
        <w:keepNext/>
      </w:pPr>
      <w:r>
        <w:rPr>
          <w:noProof/>
          <w:lang w:val="en-US"/>
        </w:rPr>
        <w:lastRenderedPageBreak/>
        <w:drawing>
          <wp:inline distT="0" distB="0" distL="0" distR="0">
            <wp:extent cx="4778816" cy="3600000"/>
            <wp:effectExtent l="19050" t="0" r="2734" b="0"/>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srcRect/>
                    <a:stretch>
                      <a:fillRect/>
                    </a:stretch>
                  </pic:blipFill>
                  <pic:spPr bwMode="auto">
                    <a:xfrm>
                      <a:off x="0" y="0"/>
                      <a:ext cx="4778816" cy="3600000"/>
                    </a:xfrm>
                    <a:prstGeom prst="rect">
                      <a:avLst/>
                    </a:prstGeom>
                    <a:noFill/>
                    <a:ln w="9525">
                      <a:noFill/>
                      <a:miter lim="800000"/>
                      <a:headEnd/>
                      <a:tailEnd/>
                    </a:ln>
                  </pic:spPr>
                </pic:pic>
              </a:graphicData>
            </a:graphic>
          </wp:inline>
        </w:drawing>
      </w:r>
    </w:p>
    <w:p w:rsidR="009437EB" w:rsidRPr="009437EB" w:rsidRDefault="009437EB" w:rsidP="009437EB">
      <w:pPr>
        <w:pStyle w:val="Caption"/>
      </w:pPr>
      <w:bookmarkStart w:id="107" w:name="_Ref326165301"/>
      <w:bookmarkStart w:id="108" w:name="_Toc338703823"/>
      <w:proofErr w:type="gramStart"/>
      <w:r>
        <w:t xml:space="preserve">Figure </w:t>
      </w:r>
      <w:fldSimple w:instr=" SEQ Figure \* ARABIC ">
        <w:r w:rsidR="00A02D22">
          <w:rPr>
            <w:noProof/>
          </w:rPr>
          <w:t>43</w:t>
        </w:r>
      </w:fldSimple>
      <w:bookmarkEnd w:id="107"/>
      <w:r>
        <w:t>.</w:t>
      </w:r>
      <w:proofErr w:type="gramEnd"/>
      <w:r>
        <w:t xml:space="preserve"> Google images of reserve network of CLFN SA.</w:t>
      </w:r>
      <w:bookmarkEnd w:id="108"/>
    </w:p>
    <w:p w:rsidR="009437EB" w:rsidRPr="009437EB" w:rsidRDefault="009437EB" w:rsidP="009437EB">
      <w:pPr>
        <w:rPr>
          <w:lang w:eastAsia="en-CA"/>
        </w:rPr>
      </w:pPr>
    </w:p>
    <w:p w:rsidR="00715E62" w:rsidRDefault="00715E62">
      <w:pPr>
        <w:spacing w:after="200" w:line="276" w:lineRule="auto"/>
        <w:rPr>
          <w:rFonts w:ascii="Arial" w:hAnsi="Arial"/>
          <w:b/>
          <w:caps/>
          <w:kern w:val="28"/>
          <w:lang w:val="en-US"/>
        </w:rPr>
      </w:pPr>
      <w:r>
        <w:br w:type="page"/>
      </w:r>
    </w:p>
    <w:p w:rsidR="00871C3E" w:rsidRDefault="00871C3E" w:rsidP="00871C3E">
      <w:pPr>
        <w:pStyle w:val="Heading2"/>
      </w:pPr>
      <w:bookmarkStart w:id="109" w:name="_Toc338703689"/>
      <w:r>
        <w:lastRenderedPageBreak/>
        <w:t>Non-Aboriginal Populations</w:t>
      </w:r>
      <w:bookmarkEnd w:id="109"/>
    </w:p>
    <w:p w:rsidR="00906CF1" w:rsidRDefault="00906CF1" w:rsidP="00906CF1">
      <w:pPr>
        <w:pStyle w:val="BodyText"/>
        <w:rPr>
          <w:lang w:val="en-US"/>
        </w:rPr>
      </w:pPr>
      <w:r>
        <w:rPr>
          <w:lang w:val="en-US"/>
        </w:rPr>
        <w:t xml:space="preserve">The non-aboriginal provincial population has numerous direct and indirect influences on the peoples of CLFN. The location of CLFN peoples relative to the overall human population in Alberta is illustrated in </w:t>
      </w:r>
      <w:r w:rsidR="00575CA7">
        <w:rPr>
          <w:lang w:val="en-US"/>
        </w:rPr>
        <w:fldChar w:fldCharType="begin"/>
      </w:r>
      <w:r w:rsidR="00C82A84">
        <w:rPr>
          <w:lang w:val="en-US"/>
        </w:rPr>
        <w:instrText xml:space="preserve"> REF _Ref325455672 \h </w:instrText>
      </w:r>
      <w:r w:rsidR="00575CA7">
        <w:rPr>
          <w:lang w:val="en-US"/>
        </w:rPr>
      </w:r>
      <w:r w:rsidR="00575CA7">
        <w:rPr>
          <w:lang w:val="en-US"/>
        </w:rPr>
        <w:fldChar w:fldCharType="separate"/>
      </w:r>
      <w:r w:rsidR="003648B8">
        <w:t xml:space="preserve">Figure </w:t>
      </w:r>
      <w:r w:rsidR="003648B8">
        <w:rPr>
          <w:noProof/>
        </w:rPr>
        <w:t>45</w:t>
      </w:r>
      <w:r w:rsidR="00575CA7">
        <w:rPr>
          <w:lang w:val="en-US"/>
        </w:rPr>
        <w:fldChar w:fldCharType="end"/>
      </w:r>
      <w:r w:rsidR="00C82A84">
        <w:rPr>
          <w:lang w:val="en-US"/>
        </w:rPr>
        <w:t xml:space="preserve">. Density of rural residential populations </w:t>
      </w:r>
      <w:r w:rsidR="006304E2">
        <w:rPr>
          <w:lang w:val="en-US"/>
        </w:rPr>
        <w:t>is</w:t>
      </w:r>
      <w:r w:rsidR="00C82A84">
        <w:rPr>
          <w:lang w:val="en-US"/>
        </w:rPr>
        <w:t xml:space="preserve"> shown in </w:t>
      </w:r>
      <w:r w:rsidR="00575CA7">
        <w:rPr>
          <w:lang w:val="en-US"/>
        </w:rPr>
        <w:fldChar w:fldCharType="begin"/>
      </w:r>
      <w:r w:rsidR="00C82A84">
        <w:rPr>
          <w:lang w:val="en-US"/>
        </w:rPr>
        <w:instrText xml:space="preserve"> REF _Ref325455698 \h </w:instrText>
      </w:r>
      <w:r w:rsidR="00575CA7">
        <w:rPr>
          <w:lang w:val="en-US"/>
        </w:rPr>
      </w:r>
      <w:r w:rsidR="00575CA7">
        <w:rPr>
          <w:lang w:val="en-US"/>
        </w:rPr>
        <w:fldChar w:fldCharType="separate"/>
      </w:r>
      <w:r w:rsidR="003648B8">
        <w:t xml:space="preserve">Figure </w:t>
      </w:r>
      <w:r w:rsidR="003648B8">
        <w:rPr>
          <w:noProof/>
        </w:rPr>
        <w:t>46</w:t>
      </w:r>
      <w:r w:rsidR="00575CA7">
        <w:rPr>
          <w:lang w:val="en-US"/>
        </w:rPr>
        <w:fldChar w:fldCharType="end"/>
      </w:r>
      <w:r w:rsidR="00C82A84">
        <w:rPr>
          <w:lang w:val="en-US"/>
        </w:rPr>
        <w:t>. It is generally understood that the census data of Statistics Canada does not accurately reflect populations of First Nation communities in Alberta. It is also recognized that censuses of populations in metropolitan centres will also incorporate CLFN individuals who are living off reserves.</w:t>
      </w:r>
    </w:p>
    <w:p w:rsidR="00C82A84" w:rsidRDefault="00C82A84" w:rsidP="00906CF1">
      <w:pPr>
        <w:pStyle w:val="BodyText"/>
        <w:rPr>
          <w:lang w:val="en-US"/>
        </w:rPr>
      </w:pPr>
      <w:r>
        <w:rPr>
          <w:lang w:val="en-US"/>
        </w:rPr>
        <w:t xml:space="preserve">Whereas human </w:t>
      </w:r>
      <w:r w:rsidR="003119E9">
        <w:rPr>
          <w:lang w:val="en-US"/>
        </w:rPr>
        <w:t>populations</w:t>
      </w:r>
      <w:r>
        <w:rPr>
          <w:lang w:val="en-US"/>
        </w:rPr>
        <w:t xml:space="preserve"> in the northern 2/3</w:t>
      </w:r>
      <w:r w:rsidRPr="00B14ED1">
        <w:rPr>
          <w:vertAlign w:val="superscript"/>
          <w:lang w:val="en-US"/>
        </w:rPr>
        <w:t>rd</w:t>
      </w:r>
      <w:r>
        <w:rPr>
          <w:lang w:val="en-US"/>
        </w:rPr>
        <w:t xml:space="preserve"> of </w:t>
      </w:r>
      <w:r w:rsidR="003119E9">
        <w:rPr>
          <w:lang w:val="en-US"/>
        </w:rPr>
        <w:t xml:space="preserve">the CLFN </w:t>
      </w:r>
      <w:r w:rsidR="00402944">
        <w:rPr>
          <w:lang w:val="en-US"/>
        </w:rPr>
        <w:t xml:space="preserve">SA </w:t>
      </w:r>
      <w:r w:rsidR="003119E9">
        <w:rPr>
          <w:lang w:val="en-US"/>
        </w:rPr>
        <w:t xml:space="preserve">remains exceptionally </w:t>
      </w:r>
      <w:r>
        <w:rPr>
          <w:lang w:val="en-US"/>
        </w:rPr>
        <w:t xml:space="preserve">low, the density of people in </w:t>
      </w:r>
      <w:r w:rsidR="003119E9">
        <w:rPr>
          <w:lang w:val="en-US"/>
        </w:rPr>
        <w:t xml:space="preserve">southern </w:t>
      </w:r>
      <w:r>
        <w:rPr>
          <w:lang w:val="en-US"/>
        </w:rPr>
        <w:t xml:space="preserve">townships </w:t>
      </w:r>
      <w:r w:rsidR="008174B1">
        <w:rPr>
          <w:lang w:val="en-US"/>
        </w:rPr>
        <w:t>is</w:t>
      </w:r>
      <w:r w:rsidR="003119E9">
        <w:rPr>
          <w:lang w:val="en-US"/>
        </w:rPr>
        <w:t xml:space="preserve"> higher and relate</w:t>
      </w:r>
      <w:r w:rsidR="00CB65A6">
        <w:rPr>
          <w:lang w:val="en-US"/>
        </w:rPr>
        <w:t>s</w:t>
      </w:r>
      <w:r w:rsidR="003119E9">
        <w:rPr>
          <w:lang w:val="en-US"/>
        </w:rPr>
        <w:t xml:space="preserve"> to</w:t>
      </w:r>
      <w:r w:rsidR="00CB65A6">
        <w:rPr>
          <w:lang w:val="en-US"/>
        </w:rPr>
        <w:t xml:space="preserve"> the</w:t>
      </w:r>
      <w:r w:rsidR="003119E9">
        <w:rPr>
          <w:lang w:val="en-US"/>
        </w:rPr>
        <w:t xml:space="preserve"> presence of settlements, reserves, rural residents,</w:t>
      </w:r>
      <w:r w:rsidR="00CB65A6">
        <w:rPr>
          <w:lang w:val="en-US"/>
        </w:rPr>
        <w:t xml:space="preserve"> and</w:t>
      </w:r>
      <w:r w:rsidR="003119E9">
        <w:rPr>
          <w:lang w:val="en-US"/>
        </w:rPr>
        <w:t xml:space="preserve"> energy sector work camps</w:t>
      </w:r>
      <w:r w:rsidR="00B15C24">
        <w:rPr>
          <w:lang w:val="en-US"/>
        </w:rPr>
        <w:t xml:space="preserve"> (</w:t>
      </w:r>
      <w:r w:rsidR="00575CA7">
        <w:rPr>
          <w:lang w:val="en-US"/>
        </w:rPr>
        <w:fldChar w:fldCharType="begin"/>
      </w:r>
      <w:r w:rsidR="00B15C24">
        <w:rPr>
          <w:lang w:val="en-US"/>
        </w:rPr>
        <w:instrText xml:space="preserve"> REF _Ref326244598 \h </w:instrText>
      </w:r>
      <w:r w:rsidR="00575CA7">
        <w:rPr>
          <w:lang w:val="en-US"/>
        </w:rPr>
      </w:r>
      <w:r w:rsidR="00575CA7">
        <w:rPr>
          <w:lang w:val="en-US"/>
        </w:rPr>
        <w:fldChar w:fldCharType="separate"/>
      </w:r>
      <w:r w:rsidR="003648B8">
        <w:t xml:space="preserve">Figure </w:t>
      </w:r>
      <w:r w:rsidR="003648B8">
        <w:rPr>
          <w:noProof/>
        </w:rPr>
        <w:t>47</w:t>
      </w:r>
      <w:r w:rsidR="00575CA7">
        <w:rPr>
          <w:lang w:val="en-US"/>
        </w:rPr>
        <w:fldChar w:fldCharType="end"/>
      </w:r>
      <w:r w:rsidR="00B15C24">
        <w:rPr>
          <w:lang w:val="en-US"/>
        </w:rPr>
        <w:t>)</w:t>
      </w:r>
      <w:r w:rsidR="003119E9">
        <w:rPr>
          <w:lang w:val="en-US"/>
        </w:rPr>
        <w:t xml:space="preserve">. The major communities of the CLFN </w:t>
      </w:r>
      <w:r w:rsidR="00FF5797">
        <w:rPr>
          <w:lang w:val="en-US"/>
        </w:rPr>
        <w:t>SA</w:t>
      </w:r>
      <w:r w:rsidR="003119E9">
        <w:rPr>
          <w:lang w:val="en-US"/>
        </w:rPr>
        <w:t xml:space="preserve"> </w:t>
      </w:r>
      <w:r w:rsidR="00CB65A6">
        <w:rPr>
          <w:lang w:val="en-US"/>
        </w:rPr>
        <w:t xml:space="preserve">are </w:t>
      </w:r>
      <w:r w:rsidR="003119E9">
        <w:rPr>
          <w:lang w:val="en-US"/>
        </w:rPr>
        <w:t xml:space="preserve">Cold Lake and Bonnyville. During the period </w:t>
      </w:r>
      <w:r w:rsidR="00CB65A6">
        <w:rPr>
          <w:lang w:val="en-US"/>
        </w:rPr>
        <w:t xml:space="preserve">of </w:t>
      </w:r>
      <w:r w:rsidR="003119E9">
        <w:rPr>
          <w:lang w:val="en-US"/>
        </w:rPr>
        <w:t>2006 to 2011, Cold Lake grew by 15.4%</w:t>
      </w:r>
      <w:r w:rsidR="00CB65A6">
        <w:rPr>
          <w:lang w:val="en-US"/>
        </w:rPr>
        <w:t>,</w:t>
      </w:r>
      <w:r w:rsidR="003119E9">
        <w:rPr>
          <w:lang w:val="en-US"/>
        </w:rPr>
        <w:t xml:space="preserve"> </w:t>
      </w:r>
      <w:r w:rsidR="00CB65A6">
        <w:rPr>
          <w:lang w:val="en-US"/>
        </w:rPr>
        <w:t xml:space="preserve">and </w:t>
      </w:r>
      <w:r w:rsidR="003119E9">
        <w:rPr>
          <w:lang w:val="en-US"/>
        </w:rPr>
        <w:t>Bonnyville grew by 6.6% (</w:t>
      </w:r>
      <w:r w:rsidR="00575CA7">
        <w:rPr>
          <w:lang w:val="en-US"/>
        </w:rPr>
        <w:fldChar w:fldCharType="begin"/>
      </w:r>
      <w:r w:rsidR="003119E9">
        <w:rPr>
          <w:lang w:val="en-US"/>
        </w:rPr>
        <w:instrText xml:space="preserve"> REF _Ref325456290 \h </w:instrText>
      </w:r>
      <w:r w:rsidR="00575CA7">
        <w:rPr>
          <w:lang w:val="en-US"/>
        </w:rPr>
      </w:r>
      <w:r w:rsidR="00575CA7">
        <w:rPr>
          <w:lang w:val="en-US"/>
        </w:rPr>
        <w:fldChar w:fldCharType="separate"/>
      </w:r>
      <w:r w:rsidR="003648B8">
        <w:t xml:space="preserve">Figure </w:t>
      </w:r>
      <w:r w:rsidR="003648B8">
        <w:rPr>
          <w:noProof/>
        </w:rPr>
        <w:t>48</w:t>
      </w:r>
      <w:r w:rsidR="00575CA7">
        <w:rPr>
          <w:lang w:val="en-US"/>
        </w:rPr>
        <w:fldChar w:fldCharType="end"/>
      </w:r>
      <w:r w:rsidR="003119E9">
        <w:rPr>
          <w:lang w:val="en-US"/>
        </w:rPr>
        <w:t xml:space="preserve">). Historic and projected future growth of the urban footprint of Cold Lake and Bonnyville are shown in </w:t>
      </w:r>
      <w:r w:rsidR="00575CA7">
        <w:rPr>
          <w:lang w:val="en-US"/>
        </w:rPr>
        <w:fldChar w:fldCharType="begin"/>
      </w:r>
      <w:r w:rsidR="003119E9">
        <w:rPr>
          <w:lang w:val="en-US"/>
        </w:rPr>
        <w:instrText xml:space="preserve"> REF _Ref325456342 \h </w:instrText>
      </w:r>
      <w:r w:rsidR="00575CA7">
        <w:rPr>
          <w:lang w:val="en-US"/>
        </w:rPr>
      </w:r>
      <w:r w:rsidR="00575CA7">
        <w:rPr>
          <w:lang w:val="en-US"/>
        </w:rPr>
        <w:fldChar w:fldCharType="separate"/>
      </w:r>
      <w:r w:rsidR="003648B8">
        <w:t xml:space="preserve">Figure </w:t>
      </w:r>
      <w:r w:rsidR="003648B8">
        <w:rPr>
          <w:noProof/>
        </w:rPr>
        <w:t>49</w:t>
      </w:r>
      <w:r w:rsidR="00575CA7">
        <w:rPr>
          <w:lang w:val="en-US"/>
        </w:rPr>
        <w:fldChar w:fldCharType="end"/>
      </w:r>
      <w:r w:rsidR="00CB65A6">
        <w:rPr>
          <w:lang w:val="en-US"/>
        </w:rPr>
        <w:t xml:space="preserve"> </w:t>
      </w:r>
      <w:r w:rsidR="003119E9">
        <w:rPr>
          <w:lang w:val="en-US"/>
        </w:rPr>
        <w:t xml:space="preserve">and </w:t>
      </w:r>
      <w:r w:rsidR="00575CA7">
        <w:rPr>
          <w:lang w:val="en-US"/>
        </w:rPr>
        <w:fldChar w:fldCharType="begin"/>
      </w:r>
      <w:r w:rsidR="003119E9">
        <w:rPr>
          <w:lang w:val="en-US"/>
        </w:rPr>
        <w:instrText xml:space="preserve"> REF _Ref325456344 \h </w:instrText>
      </w:r>
      <w:r w:rsidR="00575CA7">
        <w:rPr>
          <w:lang w:val="en-US"/>
        </w:rPr>
      </w:r>
      <w:r w:rsidR="00575CA7">
        <w:rPr>
          <w:lang w:val="en-US"/>
        </w:rPr>
        <w:fldChar w:fldCharType="separate"/>
      </w:r>
      <w:r w:rsidR="003648B8">
        <w:t xml:space="preserve">Figure </w:t>
      </w:r>
      <w:r w:rsidR="003648B8">
        <w:rPr>
          <w:noProof/>
        </w:rPr>
        <w:t>50</w:t>
      </w:r>
      <w:r w:rsidR="00575CA7">
        <w:rPr>
          <w:lang w:val="en-US"/>
        </w:rPr>
        <w:fldChar w:fldCharType="end"/>
      </w:r>
      <w:r w:rsidR="003119E9">
        <w:rPr>
          <w:lang w:val="en-US"/>
        </w:rPr>
        <w:t>, respectively. These projections indicate the significant loss to natural and agricultural lands that occur as communities expand outward.</w:t>
      </w:r>
    </w:p>
    <w:p w:rsidR="00C82A84" w:rsidRDefault="00C82A84" w:rsidP="00906CF1">
      <w:pPr>
        <w:pStyle w:val="BodyText"/>
        <w:rPr>
          <w:lang w:val="en-US"/>
        </w:rPr>
      </w:pPr>
    </w:p>
    <w:p w:rsidR="006D53A7" w:rsidRDefault="006D53A7" w:rsidP="00906CF1">
      <w:pPr>
        <w:pStyle w:val="BodyText"/>
        <w:rPr>
          <w:lang w:val="en-US"/>
        </w:rPr>
      </w:pPr>
    </w:p>
    <w:p w:rsidR="006D53A7" w:rsidRDefault="006D53A7" w:rsidP="00AD45C3">
      <w:pPr>
        <w:pStyle w:val="BodyText"/>
        <w:keepNext/>
        <w:spacing w:after="0"/>
      </w:pPr>
      <w:r>
        <w:rPr>
          <w:noProof/>
          <w:lang w:val="en-US"/>
        </w:rPr>
        <w:drawing>
          <wp:inline distT="0" distB="0" distL="0" distR="0">
            <wp:extent cx="4744057" cy="3600000"/>
            <wp:effectExtent l="19050" t="19050" r="18443" b="1950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56" cstate="print"/>
                    <a:srcRect/>
                    <a:stretch>
                      <a:fillRect/>
                    </a:stretch>
                  </pic:blipFill>
                  <pic:spPr bwMode="auto">
                    <a:xfrm>
                      <a:off x="0" y="0"/>
                      <a:ext cx="4744057"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6D53A7" w:rsidRDefault="006D53A7" w:rsidP="006D53A7">
      <w:pPr>
        <w:pStyle w:val="Caption"/>
        <w:rPr>
          <w:lang w:val="en-US"/>
        </w:rPr>
      </w:pPr>
      <w:bookmarkStart w:id="110" w:name="_Toc338703824"/>
      <w:proofErr w:type="gramStart"/>
      <w:r>
        <w:t xml:space="preserve">Figure </w:t>
      </w:r>
      <w:r w:rsidR="00575CA7">
        <w:fldChar w:fldCharType="begin"/>
      </w:r>
      <w:r>
        <w:instrText xml:space="preserve"> SEQ Figure \* ARABIC </w:instrText>
      </w:r>
      <w:r w:rsidR="00575CA7">
        <w:fldChar w:fldCharType="separate"/>
      </w:r>
      <w:r w:rsidR="00A02D22">
        <w:rPr>
          <w:noProof/>
        </w:rPr>
        <w:t>44</w:t>
      </w:r>
      <w:r w:rsidR="00575CA7">
        <w:fldChar w:fldCharType="end"/>
      </w:r>
      <w:r w:rsidR="00715E62">
        <w:t>.</w:t>
      </w:r>
      <w:proofErr w:type="gramEnd"/>
      <w:r w:rsidR="00715E62">
        <w:t xml:space="preserve"> Settlements in CLFN and s</w:t>
      </w:r>
      <w:r w:rsidR="007972AE">
        <w:t>ummary population values for CLFN</w:t>
      </w:r>
      <w:r w:rsidR="00FF5797">
        <w:t xml:space="preserve"> SA</w:t>
      </w:r>
      <w:r w:rsidR="007972AE">
        <w:t>.</w:t>
      </w:r>
      <w:bookmarkEnd w:id="110"/>
    </w:p>
    <w:p w:rsidR="006D53A7" w:rsidRDefault="006D53A7" w:rsidP="00906CF1">
      <w:pPr>
        <w:pStyle w:val="BodyText"/>
        <w:rPr>
          <w:lang w:val="en-US"/>
        </w:rPr>
      </w:pPr>
    </w:p>
    <w:p w:rsidR="006D53A7" w:rsidRDefault="00EA739D" w:rsidP="00AD45C3">
      <w:pPr>
        <w:pStyle w:val="BodyText"/>
        <w:keepNext/>
        <w:spacing w:after="0"/>
      </w:pPr>
      <w:r>
        <w:rPr>
          <w:noProof/>
          <w:lang w:val="en-US"/>
        </w:rPr>
        <w:lastRenderedPageBreak/>
        <w:drawing>
          <wp:inline distT="0" distB="0" distL="0" distR="0">
            <wp:extent cx="4746797" cy="3600000"/>
            <wp:effectExtent l="19050" t="19050" r="15703" b="195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cstate="print"/>
                    <a:srcRect/>
                    <a:stretch>
                      <a:fillRect/>
                    </a:stretch>
                  </pic:blipFill>
                  <pic:spPr bwMode="auto">
                    <a:xfrm>
                      <a:off x="0" y="0"/>
                      <a:ext cx="4746797"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6D53A7" w:rsidRDefault="006D53A7" w:rsidP="006D53A7">
      <w:pPr>
        <w:pStyle w:val="Caption"/>
      </w:pPr>
      <w:bookmarkStart w:id="111" w:name="_Ref325455672"/>
      <w:bookmarkStart w:id="112" w:name="_Toc338703825"/>
      <w:proofErr w:type="gramStart"/>
      <w:r>
        <w:t xml:space="preserve">Figure </w:t>
      </w:r>
      <w:r w:rsidR="00575CA7">
        <w:fldChar w:fldCharType="begin"/>
      </w:r>
      <w:r>
        <w:instrText xml:space="preserve"> SEQ Figure \* ARABIC </w:instrText>
      </w:r>
      <w:r w:rsidR="00575CA7">
        <w:fldChar w:fldCharType="separate"/>
      </w:r>
      <w:r w:rsidR="00A02D22">
        <w:rPr>
          <w:noProof/>
        </w:rPr>
        <w:t>45</w:t>
      </w:r>
      <w:r w:rsidR="00575CA7">
        <w:fldChar w:fldCharType="end"/>
      </w:r>
      <w:bookmarkEnd w:id="111"/>
      <w:r w:rsidR="00B67D8F">
        <w:t>.</w:t>
      </w:r>
      <w:proofErr w:type="gramEnd"/>
      <w:r w:rsidR="00B67D8F">
        <w:t xml:space="preserve"> </w:t>
      </w:r>
      <w:proofErr w:type="gramStart"/>
      <w:r w:rsidR="00B67D8F">
        <w:t xml:space="preserve">Population density of CLFN </w:t>
      </w:r>
      <w:r w:rsidR="004C53F9">
        <w:t xml:space="preserve">SA </w:t>
      </w:r>
      <w:r w:rsidR="00B67D8F">
        <w:t>relative to Alberta.</w:t>
      </w:r>
      <w:proofErr w:type="gramEnd"/>
      <w:r w:rsidR="00B67D8F">
        <w:t xml:space="preserve"> Source: ALCES Historic Alberta </w:t>
      </w:r>
      <w:r w:rsidR="00C544DE">
        <w:t>Land-use</w:t>
      </w:r>
      <w:r w:rsidR="00B67D8F">
        <w:t xml:space="preserve"> Reconstruction Project, 2012.</w:t>
      </w:r>
      <w:bookmarkEnd w:id="112"/>
    </w:p>
    <w:p w:rsidR="00C467D3" w:rsidRPr="00C467D3" w:rsidRDefault="00C467D3" w:rsidP="00C467D3">
      <w:pPr>
        <w:rPr>
          <w:lang w:eastAsia="en-CA"/>
        </w:rPr>
      </w:pPr>
    </w:p>
    <w:p w:rsidR="006D53A7" w:rsidRDefault="00EA739D" w:rsidP="00AD45C3">
      <w:pPr>
        <w:pStyle w:val="BodyText"/>
        <w:keepNext/>
        <w:spacing w:after="0"/>
      </w:pPr>
      <w:r>
        <w:rPr>
          <w:noProof/>
          <w:lang w:val="en-US"/>
        </w:rPr>
        <w:drawing>
          <wp:inline distT="0" distB="0" distL="0" distR="0">
            <wp:extent cx="4774182" cy="3600000"/>
            <wp:effectExtent l="19050" t="19050" r="26418" b="195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cstate="print"/>
                    <a:srcRect/>
                    <a:stretch>
                      <a:fillRect/>
                    </a:stretch>
                  </pic:blipFill>
                  <pic:spPr bwMode="auto">
                    <a:xfrm>
                      <a:off x="0" y="0"/>
                      <a:ext cx="4774182"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6D53A7" w:rsidRDefault="006D53A7" w:rsidP="006D53A7">
      <w:pPr>
        <w:pStyle w:val="Caption"/>
      </w:pPr>
      <w:bookmarkStart w:id="113" w:name="_Ref325455698"/>
      <w:bookmarkStart w:id="114" w:name="_Toc338703826"/>
      <w:proofErr w:type="gramStart"/>
      <w:r>
        <w:t xml:space="preserve">Figure </w:t>
      </w:r>
      <w:r w:rsidR="00575CA7">
        <w:fldChar w:fldCharType="begin"/>
      </w:r>
      <w:r>
        <w:instrText xml:space="preserve"> SEQ Figure \* ARABIC </w:instrText>
      </w:r>
      <w:r w:rsidR="00575CA7">
        <w:fldChar w:fldCharType="separate"/>
      </w:r>
      <w:r w:rsidR="00A02D22">
        <w:rPr>
          <w:noProof/>
        </w:rPr>
        <w:t>46</w:t>
      </w:r>
      <w:r w:rsidR="00575CA7">
        <w:fldChar w:fldCharType="end"/>
      </w:r>
      <w:bookmarkEnd w:id="113"/>
      <w:r w:rsidR="00B67D8F">
        <w:t>.</w:t>
      </w:r>
      <w:proofErr w:type="gramEnd"/>
      <w:r w:rsidR="00B67D8F">
        <w:t xml:space="preserve"> </w:t>
      </w:r>
      <w:proofErr w:type="gramStart"/>
      <w:r w:rsidR="00B67D8F">
        <w:t xml:space="preserve">Rural residential density of CLFN </w:t>
      </w:r>
      <w:r w:rsidR="004C53F9">
        <w:t xml:space="preserve">SA </w:t>
      </w:r>
      <w:r w:rsidR="00B67D8F">
        <w:t>relative to Alberta.</w:t>
      </w:r>
      <w:proofErr w:type="gramEnd"/>
      <w:r w:rsidR="00B67D8F">
        <w:t xml:space="preserve"> Source: ALCES Historic Alberta </w:t>
      </w:r>
      <w:r w:rsidR="00C544DE">
        <w:t>Land-use</w:t>
      </w:r>
      <w:r w:rsidR="00B67D8F">
        <w:t xml:space="preserve"> Reconstruction Project, 2012.</w:t>
      </w:r>
      <w:bookmarkEnd w:id="114"/>
    </w:p>
    <w:p w:rsidR="00A0648F" w:rsidRDefault="008174B1" w:rsidP="00AD45C3">
      <w:pPr>
        <w:pStyle w:val="BodyText"/>
        <w:keepNext/>
        <w:spacing w:after="0"/>
      </w:pPr>
      <w:r>
        <w:rPr>
          <w:noProof/>
          <w:lang w:val="en-US"/>
        </w:rPr>
        <w:lastRenderedPageBreak/>
        <w:drawing>
          <wp:inline distT="0" distB="0" distL="0" distR="0">
            <wp:extent cx="4735830" cy="3566429"/>
            <wp:effectExtent l="19050" t="19050" r="26670" b="14971"/>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9" cstate="print"/>
                    <a:srcRect/>
                    <a:stretch>
                      <a:fillRect/>
                    </a:stretch>
                  </pic:blipFill>
                  <pic:spPr bwMode="auto">
                    <a:xfrm>
                      <a:off x="0" y="0"/>
                      <a:ext cx="4737692" cy="3567831"/>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A0648F" w:rsidRDefault="00A0648F" w:rsidP="00A0648F">
      <w:pPr>
        <w:pStyle w:val="Caption"/>
      </w:pPr>
      <w:bookmarkStart w:id="115" w:name="_Ref326244598"/>
      <w:bookmarkStart w:id="116" w:name="_Toc338703827"/>
      <w:proofErr w:type="gramStart"/>
      <w:r>
        <w:t xml:space="preserve">Figure </w:t>
      </w:r>
      <w:fldSimple w:instr=" SEQ Figure \* ARABIC ">
        <w:r w:rsidR="00A02D22">
          <w:rPr>
            <w:noProof/>
          </w:rPr>
          <w:t>47</w:t>
        </w:r>
      </w:fldSimple>
      <w:bookmarkEnd w:id="115"/>
      <w:r w:rsidR="005845C4">
        <w:t>.</w:t>
      </w:r>
      <w:proofErr w:type="gramEnd"/>
      <w:r w:rsidR="005845C4">
        <w:t xml:space="preserve"> Major non-aboriginal s</w:t>
      </w:r>
      <w:r>
        <w:t xml:space="preserve">ettlements of CLFN </w:t>
      </w:r>
      <w:r w:rsidR="004C53F9">
        <w:t>SA</w:t>
      </w:r>
      <w:r>
        <w:t>.</w:t>
      </w:r>
      <w:bookmarkEnd w:id="116"/>
    </w:p>
    <w:p w:rsidR="00C467D3" w:rsidRPr="00C467D3" w:rsidRDefault="00C467D3" w:rsidP="00C467D3">
      <w:pPr>
        <w:rPr>
          <w:lang w:eastAsia="en-CA"/>
        </w:rPr>
      </w:pPr>
    </w:p>
    <w:p w:rsidR="006D53A7" w:rsidRDefault="006D53A7" w:rsidP="00AD45C3">
      <w:pPr>
        <w:pStyle w:val="BodyText"/>
        <w:keepNext/>
        <w:spacing w:after="0"/>
      </w:pPr>
      <w:r>
        <w:rPr>
          <w:noProof/>
          <w:lang w:val="en-US"/>
        </w:rPr>
        <w:drawing>
          <wp:inline distT="0" distB="0" distL="0" distR="0">
            <wp:extent cx="4746381" cy="3586479"/>
            <wp:effectExtent l="19050" t="19050" r="16119" b="13971"/>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60" cstate="print"/>
                    <a:srcRect/>
                    <a:stretch>
                      <a:fillRect/>
                    </a:stretch>
                  </pic:blipFill>
                  <pic:spPr bwMode="auto">
                    <a:xfrm>
                      <a:off x="0" y="0"/>
                      <a:ext cx="4754523" cy="3592632"/>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6D53A7" w:rsidRDefault="006D53A7" w:rsidP="006D53A7">
      <w:pPr>
        <w:pStyle w:val="Caption"/>
        <w:rPr>
          <w:lang w:val="en-US"/>
        </w:rPr>
      </w:pPr>
      <w:bookmarkStart w:id="117" w:name="_Ref325456290"/>
      <w:bookmarkStart w:id="118" w:name="_Toc338703828"/>
      <w:proofErr w:type="gramStart"/>
      <w:r>
        <w:t xml:space="preserve">Figure </w:t>
      </w:r>
      <w:r w:rsidR="00575CA7">
        <w:fldChar w:fldCharType="begin"/>
      </w:r>
      <w:r>
        <w:instrText xml:space="preserve"> SEQ Figure \* ARABIC </w:instrText>
      </w:r>
      <w:r w:rsidR="00575CA7">
        <w:fldChar w:fldCharType="separate"/>
      </w:r>
      <w:r w:rsidR="00A02D22">
        <w:rPr>
          <w:noProof/>
        </w:rPr>
        <w:t>48</w:t>
      </w:r>
      <w:r w:rsidR="00575CA7">
        <w:fldChar w:fldCharType="end"/>
      </w:r>
      <w:bookmarkEnd w:id="117"/>
      <w:r w:rsidR="00B67D8F">
        <w:t>.</w:t>
      </w:r>
      <w:proofErr w:type="gramEnd"/>
      <w:r w:rsidR="00B67D8F">
        <w:t xml:space="preserve"> </w:t>
      </w:r>
      <w:proofErr w:type="gramStart"/>
      <w:r w:rsidR="00B67D8F">
        <w:t>Population size and growth rates for Cold Lake and Bonnyville.</w:t>
      </w:r>
      <w:proofErr w:type="gramEnd"/>
      <w:r w:rsidR="00B67D8F">
        <w:t xml:space="preserve"> Source: Statistics Canada, 2011.</w:t>
      </w:r>
      <w:bookmarkEnd w:id="118"/>
    </w:p>
    <w:p w:rsidR="006D53A7" w:rsidRDefault="006D53A7" w:rsidP="00AD45C3">
      <w:pPr>
        <w:pStyle w:val="BodyText"/>
        <w:keepNext/>
        <w:spacing w:after="0"/>
      </w:pPr>
      <w:r>
        <w:rPr>
          <w:noProof/>
          <w:lang w:val="en-US"/>
        </w:rPr>
        <w:lastRenderedPageBreak/>
        <w:drawing>
          <wp:inline distT="0" distB="0" distL="0" distR="0">
            <wp:extent cx="4780699" cy="3600000"/>
            <wp:effectExtent l="19050" t="19050" r="19901" b="1950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61" cstate="print"/>
                    <a:srcRect/>
                    <a:stretch>
                      <a:fillRect/>
                    </a:stretch>
                  </pic:blipFill>
                  <pic:spPr bwMode="auto">
                    <a:xfrm>
                      <a:off x="0" y="0"/>
                      <a:ext cx="4780699"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6D53A7" w:rsidRDefault="006D53A7" w:rsidP="006D53A7">
      <w:pPr>
        <w:pStyle w:val="Caption"/>
        <w:rPr>
          <w:lang w:val="en-US"/>
        </w:rPr>
      </w:pPr>
      <w:bookmarkStart w:id="119" w:name="_Ref325456342"/>
      <w:bookmarkStart w:id="120" w:name="_Toc338703829"/>
      <w:proofErr w:type="gramStart"/>
      <w:r>
        <w:t xml:space="preserve">Figure </w:t>
      </w:r>
      <w:r w:rsidR="00575CA7">
        <w:fldChar w:fldCharType="begin"/>
      </w:r>
      <w:r>
        <w:instrText xml:space="preserve"> SEQ Figure \* ARABIC </w:instrText>
      </w:r>
      <w:r w:rsidR="00575CA7">
        <w:fldChar w:fldCharType="separate"/>
      </w:r>
      <w:r w:rsidR="00A02D22">
        <w:rPr>
          <w:noProof/>
        </w:rPr>
        <w:t>49</w:t>
      </w:r>
      <w:r w:rsidR="00575CA7">
        <w:fldChar w:fldCharType="end"/>
      </w:r>
      <w:bookmarkEnd w:id="119"/>
      <w:r w:rsidR="00B67D8F">
        <w:t>.</w:t>
      </w:r>
      <w:proofErr w:type="gramEnd"/>
      <w:r w:rsidR="00B67D8F">
        <w:t xml:space="preserve"> Historic and future time series of Cold Lake population and settlement growth. Future simulations are based on average historic area growth rates (lower right) and constant growth rate of 2% (upper right).</w:t>
      </w:r>
      <w:bookmarkEnd w:id="120"/>
    </w:p>
    <w:p w:rsidR="006D53A7" w:rsidRDefault="006D53A7" w:rsidP="00AD45C3">
      <w:pPr>
        <w:pStyle w:val="BodyText"/>
        <w:keepNext/>
        <w:spacing w:after="0"/>
      </w:pPr>
      <w:r>
        <w:rPr>
          <w:noProof/>
          <w:lang w:val="en-US"/>
        </w:rPr>
        <w:drawing>
          <wp:inline distT="0" distB="0" distL="0" distR="0">
            <wp:extent cx="4789519" cy="3600000"/>
            <wp:effectExtent l="19050" t="19050" r="11081" b="1950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62" cstate="print"/>
                    <a:srcRect/>
                    <a:stretch>
                      <a:fillRect/>
                    </a:stretch>
                  </pic:blipFill>
                  <pic:spPr bwMode="auto">
                    <a:xfrm>
                      <a:off x="0" y="0"/>
                      <a:ext cx="4789519"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6D53A7" w:rsidRDefault="006D53A7" w:rsidP="006D53A7">
      <w:pPr>
        <w:pStyle w:val="Caption"/>
        <w:rPr>
          <w:lang w:val="en-US"/>
        </w:rPr>
      </w:pPr>
      <w:bookmarkStart w:id="121" w:name="_Ref325456344"/>
      <w:bookmarkStart w:id="122" w:name="_Toc338703830"/>
      <w:proofErr w:type="gramStart"/>
      <w:r>
        <w:t xml:space="preserve">Figure </w:t>
      </w:r>
      <w:r w:rsidR="00575CA7">
        <w:fldChar w:fldCharType="begin"/>
      </w:r>
      <w:r>
        <w:instrText xml:space="preserve"> SEQ Figure \* ARABIC </w:instrText>
      </w:r>
      <w:r w:rsidR="00575CA7">
        <w:fldChar w:fldCharType="separate"/>
      </w:r>
      <w:r w:rsidR="00A02D22">
        <w:rPr>
          <w:noProof/>
        </w:rPr>
        <w:t>50</w:t>
      </w:r>
      <w:r w:rsidR="00575CA7">
        <w:fldChar w:fldCharType="end"/>
      </w:r>
      <w:bookmarkEnd w:id="121"/>
      <w:r w:rsidR="00B67D8F">
        <w:t>.</w:t>
      </w:r>
      <w:proofErr w:type="gramEnd"/>
      <w:r w:rsidR="00B67D8F">
        <w:t xml:space="preserve"> Historic and future time series of Bonnyville population and settlement growth. Future simulations are based on average historic area growth rates (lower right) and constant growth rate of 2% (upper right).</w:t>
      </w:r>
      <w:bookmarkEnd w:id="122"/>
    </w:p>
    <w:p w:rsidR="00871C3E" w:rsidRDefault="00871C3E" w:rsidP="00871C3E">
      <w:pPr>
        <w:pStyle w:val="Heading2"/>
      </w:pPr>
      <w:bookmarkStart w:id="123" w:name="_Toc338703690"/>
      <w:r>
        <w:lastRenderedPageBreak/>
        <w:t>Agriculture</w:t>
      </w:r>
      <w:bookmarkEnd w:id="123"/>
    </w:p>
    <w:p w:rsidR="008A5D61" w:rsidRDefault="008A5D61" w:rsidP="008A5D61">
      <w:pPr>
        <w:pStyle w:val="BodyText"/>
        <w:rPr>
          <w:lang w:val="en-US"/>
        </w:rPr>
      </w:pPr>
      <w:r>
        <w:rPr>
          <w:lang w:val="en-US"/>
        </w:rPr>
        <w:t>The advent of agriculture in Alberta has drastically changed the landscape over the last</w:t>
      </w:r>
      <w:r w:rsidR="004F69B2">
        <w:rPr>
          <w:lang w:val="en-US"/>
        </w:rPr>
        <w:t xml:space="preserve"> 100 years</w:t>
      </w:r>
      <w:r w:rsidR="00B15C24">
        <w:rPr>
          <w:lang w:val="en-US"/>
        </w:rPr>
        <w:t xml:space="preserve"> (</w:t>
      </w:r>
      <w:r w:rsidR="00575CA7">
        <w:rPr>
          <w:lang w:val="en-US"/>
        </w:rPr>
        <w:fldChar w:fldCharType="begin"/>
      </w:r>
      <w:r w:rsidR="00B15C24">
        <w:rPr>
          <w:lang w:val="en-US"/>
        </w:rPr>
        <w:instrText xml:space="preserve"> REF _Ref326244932 \h </w:instrText>
      </w:r>
      <w:r w:rsidR="00575CA7">
        <w:rPr>
          <w:lang w:val="en-US"/>
        </w:rPr>
      </w:r>
      <w:r w:rsidR="00575CA7">
        <w:rPr>
          <w:lang w:val="en-US"/>
        </w:rPr>
        <w:fldChar w:fldCharType="separate"/>
      </w:r>
      <w:r w:rsidR="003648B8">
        <w:t xml:space="preserve">Figure </w:t>
      </w:r>
      <w:r w:rsidR="003648B8">
        <w:rPr>
          <w:noProof/>
        </w:rPr>
        <w:t>51</w:t>
      </w:r>
      <w:r w:rsidR="00575CA7">
        <w:rPr>
          <w:lang w:val="en-US"/>
        </w:rPr>
        <w:fldChar w:fldCharType="end"/>
      </w:r>
      <w:r w:rsidR="00B15C24">
        <w:rPr>
          <w:lang w:val="en-US"/>
        </w:rPr>
        <w:t>)</w:t>
      </w:r>
      <w:r w:rsidR="004F69B2">
        <w:rPr>
          <w:lang w:val="en-US"/>
        </w:rPr>
        <w:t>. In 1910, less than 2</w:t>
      </w:r>
      <w:r>
        <w:rPr>
          <w:lang w:val="en-US"/>
        </w:rPr>
        <w:t>% of Alberta’s landscape was devoted to cropland, and by the year 2010, t</w:t>
      </w:r>
      <w:r w:rsidR="002A3DEF">
        <w:rPr>
          <w:lang w:val="en-US"/>
        </w:rPr>
        <w:t>hat percentage reached almost 20</w:t>
      </w:r>
      <w:r>
        <w:rPr>
          <w:lang w:val="en-US"/>
        </w:rPr>
        <w:t>% (</w:t>
      </w:r>
      <w:r w:rsidR="00575CA7">
        <w:rPr>
          <w:lang w:val="en-US"/>
        </w:rPr>
        <w:fldChar w:fldCharType="begin"/>
      </w:r>
      <w:r w:rsidR="002A3DEF">
        <w:rPr>
          <w:lang w:val="en-US"/>
        </w:rPr>
        <w:instrText xml:space="preserve"> REF _Ref325471502 \h </w:instrText>
      </w:r>
      <w:r w:rsidR="00575CA7">
        <w:rPr>
          <w:lang w:val="en-US"/>
        </w:rPr>
      </w:r>
      <w:r w:rsidR="00575CA7">
        <w:rPr>
          <w:lang w:val="en-US"/>
        </w:rPr>
        <w:fldChar w:fldCharType="separate"/>
      </w:r>
      <w:r w:rsidR="003648B8">
        <w:t xml:space="preserve">Figure </w:t>
      </w:r>
      <w:r w:rsidR="003648B8">
        <w:rPr>
          <w:noProof/>
        </w:rPr>
        <w:t>52</w:t>
      </w:r>
      <w:r w:rsidR="00575CA7">
        <w:rPr>
          <w:lang w:val="en-US"/>
        </w:rPr>
        <w:fldChar w:fldCharType="end"/>
      </w:r>
      <w:r>
        <w:rPr>
          <w:lang w:val="en-US"/>
        </w:rPr>
        <w:t xml:space="preserve">). A similar </w:t>
      </w:r>
      <w:r w:rsidR="00BB5E5A">
        <w:rPr>
          <w:lang w:val="en-US"/>
        </w:rPr>
        <w:t>growth</w:t>
      </w:r>
      <w:r>
        <w:rPr>
          <w:lang w:val="en-US"/>
        </w:rPr>
        <w:t xml:space="preserve"> in cattle population was seen as well, from less than a million head of cattle in 1910, to about 6 million in 2010 (</w:t>
      </w:r>
      <w:r w:rsidR="00575CA7">
        <w:rPr>
          <w:lang w:val="en-US"/>
        </w:rPr>
        <w:fldChar w:fldCharType="begin"/>
      </w:r>
      <w:r w:rsidR="002A3DEF">
        <w:rPr>
          <w:lang w:val="en-US"/>
        </w:rPr>
        <w:instrText xml:space="preserve"> REF _Ref325471518 \h </w:instrText>
      </w:r>
      <w:r w:rsidR="00575CA7">
        <w:rPr>
          <w:lang w:val="en-US"/>
        </w:rPr>
      </w:r>
      <w:r w:rsidR="00575CA7">
        <w:rPr>
          <w:lang w:val="en-US"/>
        </w:rPr>
        <w:fldChar w:fldCharType="separate"/>
      </w:r>
      <w:r w:rsidR="003648B8">
        <w:t xml:space="preserve">Figure </w:t>
      </w:r>
      <w:r w:rsidR="003648B8">
        <w:rPr>
          <w:noProof/>
        </w:rPr>
        <w:t>58</w:t>
      </w:r>
      <w:r w:rsidR="00575CA7">
        <w:rPr>
          <w:lang w:val="en-US"/>
        </w:rPr>
        <w:fldChar w:fldCharType="end"/>
      </w:r>
      <w:r w:rsidR="00B15C24">
        <w:rPr>
          <w:lang w:val="en-US"/>
        </w:rPr>
        <w:t xml:space="preserve"> and </w:t>
      </w:r>
      <w:r w:rsidR="00575CA7">
        <w:rPr>
          <w:lang w:val="en-US"/>
        </w:rPr>
        <w:fldChar w:fldCharType="begin"/>
      </w:r>
      <w:r w:rsidR="00B15C24">
        <w:rPr>
          <w:lang w:val="en-US"/>
        </w:rPr>
        <w:instrText xml:space="preserve"> REF _Ref326245492 \h </w:instrText>
      </w:r>
      <w:r w:rsidR="00575CA7">
        <w:rPr>
          <w:lang w:val="en-US"/>
        </w:rPr>
      </w:r>
      <w:r w:rsidR="00575CA7">
        <w:rPr>
          <w:lang w:val="en-US"/>
        </w:rPr>
        <w:fldChar w:fldCharType="separate"/>
      </w:r>
      <w:r w:rsidR="003648B8">
        <w:t xml:space="preserve">Figure </w:t>
      </w:r>
      <w:r w:rsidR="003648B8">
        <w:rPr>
          <w:noProof/>
        </w:rPr>
        <w:t>59</w:t>
      </w:r>
      <w:r w:rsidR="00575CA7">
        <w:rPr>
          <w:lang w:val="en-US"/>
        </w:rPr>
        <w:fldChar w:fldCharType="end"/>
      </w:r>
      <w:r>
        <w:rPr>
          <w:lang w:val="en-US"/>
        </w:rPr>
        <w:t xml:space="preserve">). Part of this change was seen on the southern portion of the CLFN area as well. </w:t>
      </w:r>
      <w:r w:rsidR="00C23287">
        <w:rPr>
          <w:lang w:val="en-US"/>
        </w:rPr>
        <w:t xml:space="preserve">Today, agricultural croplands in the </w:t>
      </w:r>
      <w:r w:rsidR="007D778D">
        <w:rPr>
          <w:lang w:val="en-US"/>
        </w:rPr>
        <w:t xml:space="preserve">CLFN </w:t>
      </w:r>
      <w:r w:rsidR="006D27F0">
        <w:rPr>
          <w:lang w:val="en-US"/>
        </w:rPr>
        <w:t>SA (</w:t>
      </w:r>
      <w:r w:rsidR="00C23287">
        <w:rPr>
          <w:lang w:val="en-US"/>
        </w:rPr>
        <w:t>total of 112,727 ha) include 22,594 ha of cultivated crops and 90,131 ha of forages (90,131 ha) (</w:t>
      </w:r>
      <w:r w:rsidR="00575CA7">
        <w:rPr>
          <w:lang w:val="en-US"/>
        </w:rPr>
        <w:fldChar w:fldCharType="begin"/>
      </w:r>
      <w:r w:rsidR="00B15C24">
        <w:rPr>
          <w:lang w:val="en-US"/>
        </w:rPr>
        <w:instrText xml:space="preserve"> REF _Ref326245064 \h </w:instrText>
      </w:r>
      <w:r w:rsidR="00575CA7">
        <w:rPr>
          <w:lang w:val="en-US"/>
        </w:rPr>
      </w:r>
      <w:r w:rsidR="00575CA7">
        <w:rPr>
          <w:lang w:val="en-US"/>
        </w:rPr>
        <w:fldChar w:fldCharType="separate"/>
      </w:r>
      <w:r w:rsidR="003648B8">
        <w:t xml:space="preserve">Figure </w:t>
      </w:r>
      <w:r w:rsidR="003648B8">
        <w:rPr>
          <w:noProof/>
        </w:rPr>
        <w:t>53</w:t>
      </w:r>
      <w:r w:rsidR="00575CA7">
        <w:rPr>
          <w:lang w:val="en-US"/>
        </w:rPr>
        <w:fldChar w:fldCharType="end"/>
      </w:r>
      <w:r w:rsidR="00C23287">
        <w:rPr>
          <w:lang w:val="en-US"/>
        </w:rPr>
        <w:t>)</w:t>
      </w:r>
      <w:r w:rsidR="006959DD">
        <w:rPr>
          <w:lang w:val="en-US"/>
        </w:rPr>
        <w:t>.</w:t>
      </w:r>
    </w:p>
    <w:p w:rsidR="008A5D61" w:rsidRDefault="008A5D61" w:rsidP="008A5D61">
      <w:pPr>
        <w:pStyle w:val="BodyText"/>
      </w:pPr>
      <w:r>
        <w:rPr>
          <w:lang w:val="en-US"/>
        </w:rPr>
        <w:t xml:space="preserve">Croplands in </w:t>
      </w:r>
      <w:r w:rsidR="008D5B2D">
        <w:rPr>
          <w:lang w:val="en-US"/>
        </w:rPr>
        <w:t>the CLFN region have been expanding at a rate 400 ha/yr during the past few decades and are projected to expand at a pace of 240 ha/yr until all remaining 25,000 ha of Class 4 soils are converted to agricultural production</w:t>
      </w:r>
      <w:r>
        <w:rPr>
          <w:lang w:val="en-US"/>
        </w:rPr>
        <w:t xml:space="preserve"> (</w:t>
      </w:r>
      <w:r w:rsidR="00575CA7">
        <w:rPr>
          <w:lang w:val="en-US"/>
        </w:rPr>
        <w:fldChar w:fldCharType="begin"/>
      </w:r>
      <w:r w:rsidR="008D5B2D">
        <w:rPr>
          <w:lang w:val="en-US"/>
        </w:rPr>
        <w:instrText xml:space="preserve"> REF _Ref325472989 \h </w:instrText>
      </w:r>
      <w:r w:rsidR="00575CA7">
        <w:rPr>
          <w:lang w:val="en-US"/>
        </w:rPr>
      </w:r>
      <w:r w:rsidR="00575CA7">
        <w:rPr>
          <w:lang w:val="en-US"/>
        </w:rPr>
        <w:fldChar w:fldCharType="separate"/>
      </w:r>
      <w:r w:rsidR="003648B8">
        <w:t xml:space="preserve">Figure </w:t>
      </w:r>
      <w:r w:rsidR="003648B8">
        <w:rPr>
          <w:noProof/>
        </w:rPr>
        <w:t>54</w:t>
      </w:r>
      <w:r w:rsidR="00575CA7">
        <w:rPr>
          <w:lang w:val="en-US"/>
        </w:rPr>
        <w:fldChar w:fldCharType="end"/>
      </w:r>
      <w:r>
        <w:rPr>
          <w:lang w:val="en-US"/>
        </w:rPr>
        <w:t xml:space="preserve">). </w:t>
      </w:r>
      <w:r w:rsidR="008D5B2D">
        <w:rPr>
          <w:lang w:val="en-US"/>
        </w:rPr>
        <w:t xml:space="preserve"> </w:t>
      </w:r>
    </w:p>
    <w:p w:rsidR="008A5D61" w:rsidRDefault="008A5D61" w:rsidP="008A5D61">
      <w:pPr>
        <w:pStyle w:val="BodyText"/>
        <w:rPr>
          <w:lang w:val="en-US"/>
        </w:rPr>
      </w:pPr>
      <w:r>
        <w:rPr>
          <w:lang w:val="en-US"/>
        </w:rPr>
        <w:t xml:space="preserve">Deforestation of the White </w:t>
      </w:r>
      <w:r w:rsidR="008D5B2D">
        <w:rPr>
          <w:lang w:val="en-US"/>
        </w:rPr>
        <w:t>Area</w:t>
      </w:r>
      <w:r>
        <w:rPr>
          <w:lang w:val="en-US"/>
        </w:rPr>
        <w:t xml:space="preserve"> </w:t>
      </w:r>
      <w:r w:rsidR="008D5B2D">
        <w:rPr>
          <w:lang w:val="en-US"/>
        </w:rPr>
        <w:t>in and near the</w:t>
      </w:r>
      <w:r w:rsidR="00BB5E5A">
        <w:rPr>
          <w:lang w:val="en-US"/>
        </w:rPr>
        <w:t xml:space="preserve"> CLFN SA</w:t>
      </w:r>
      <w:r>
        <w:rPr>
          <w:lang w:val="en-US"/>
        </w:rPr>
        <w:t xml:space="preserve"> has occurred</w:t>
      </w:r>
      <w:r w:rsidR="008D5B2D">
        <w:rPr>
          <w:lang w:val="en-US"/>
        </w:rPr>
        <w:t xml:space="preserve"> at a fast rate (</w:t>
      </w:r>
      <w:r w:rsidR="00575CA7">
        <w:rPr>
          <w:lang w:val="en-US"/>
        </w:rPr>
        <w:fldChar w:fldCharType="begin"/>
      </w:r>
      <w:r w:rsidR="008D5B2D">
        <w:rPr>
          <w:lang w:val="en-US"/>
        </w:rPr>
        <w:instrText xml:space="preserve"> REF _Ref325473091 \h </w:instrText>
      </w:r>
      <w:r w:rsidR="00575CA7">
        <w:rPr>
          <w:lang w:val="en-US"/>
        </w:rPr>
      </w:r>
      <w:r w:rsidR="00575CA7">
        <w:rPr>
          <w:lang w:val="en-US"/>
        </w:rPr>
        <w:fldChar w:fldCharType="separate"/>
      </w:r>
      <w:r w:rsidR="003648B8">
        <w:t xml:space="preserve">Figure </w:t>
      </w:r>
      <w:r w:rsidR="003648B8">
        <w:rPr>
          <w:noProof/>
        </w:rPr>
        <w:t>55</w:t>
      </w:r>
      <w:r w:rsidR="00575CA7">
        <w:rPr>
          <w:lang w:val="en-US"/>
        </w:rPr>
        <w:fldChar w:fldCharType="end"/>
      </w:r>
      <w:r w:rsidR="008D5B2D">
        <w:rPr>
          <w:lang w:val="en-US"/>
        </w:rPr>
        <w:t xml:space="preserve">). Near </w:t>
      </w:r>
      <w:r>
        <w:rPr>
          <w:lang w:val="en-US"/>
        </w:rPr>
        <w:t xml:space="preserve">Boyle, </w:t>
      </w:r>
      <w:r w:rsidR="008D5B2D">
        <w:rPr>
          <w:lang w:val="en-US"/>
        </w:rPr>
        <w:t xml:space="preserve">west of the CLFN </w:t>
      </w:r>
      <w:r w:rsidR="00BB5E5A">
        <w:rPr>
          <w:lang w:val="en-US"/>
        </w:rPr>
        <w:t>SA</w:t>
      </w:r>
      <w:r w:rsidR="008D5B2D">
        <w:rPr>
          <w:lang w:val="en-US"/>
        </w:rPr>
        <w:t xml:space="preserve">, agricultural conversion of forests has occurred at a rate of 8.3 %/yr </w:t>
      </w:r>
      <w:r>
        <w:rPr>
          <w:lang w:val="en-US"/>
        </w:rPr>
        <w:t>(</w:t>
      </w:r>
      <w:r w:rsidR="00575CA7">
        <w:rPr>
          <w:lang w:val="en-US"/>
        </w:rPr>
        <w:fldChar w:fldCharType="begin"/>
      </w:r>
      <w:r w:rsidR="008D5B2D">
        <w:rPr>
          <w:lang w:val="en-US"/>
        </w:rPr>
        <w:instrText xml:space="preserve"> REF _Ref325473093 \h </w:instrText>
      </w:r>
      <w:r w:rsidR="00575CA7">
        <w:rPr>
          <w:lang w:val="en-US"/>
        </w:rPr>
      </w:r>
      <w:r w:rsidR="00575CA7">
        <w:rPr>
          <w:lang w:val="en-US"/>
        </w:rPr>
        <w:fldChar w:fldCharType="separate"/>
      </w:r>
      <w:r w:rsidR="003648B8">
        <w:t xml:space="preserve">Figure </w:t>
      </w:r>
      <w:r w:rsidR="003648B8">
        <w:rPr>
          <w:noProof/>
        </w:rPr>
        <w:t>56</w:t>
      </w:r>
      <w:r w:rsidR="00575CA7">
        <w:rPr>
          <w:lang w:val="en-US"/>
        </w:rPr>
        <w:fldChar w:fldCharType="end"/>
      </w:r>
      <w:r w:rsidR="008D5B2D">
        <w:rPr>
          <w:lang w:val="en-US"/>
        </w:rPr>
        <w:t xml:space="preserve">, </w:t>
      </w:r>
      <w:r w:rsidR="00575CA7">
        <w:rPr>
          <w:lang w:val="en-US"/>
        </w:rPr>
        <w:fldChar w:fldCharType="begin"/>
      </w:r>
      <w:r w:rsidR="008D5B2D">
        <w:rPr>
          <w:lang w:val="en-US"/>
        </w:rPr>
        <w:instrText xml:space="preserve"> REF _Ref325473095 \h </w:instrText>
      </w:r>
      <w:r w:rsidR="00575CA7">
        <w:rPr>
          <w:lang w:val="en-US"/>
        </w:rPr>
      </w:r>
      <w:r w:rsidR="00575CA7">
        <w:rPr>
          <w:lang w:val="en-US"/>
        </w:rPr>
        <w:fldChar w:fldCharType="separate"/>
      </w:r>
      <w:r w:rsidR="003648B8">
        <w:t xml:space="preserve">Figure </w:t>
      </w:r>
      <w:r w:rsidR="003648B8">
        <w:rPr>
          <w:noProof/>
        </w:rPr>
        <w:t>57</w:t>
      </w:r>
      <w:r w:rsidR="00575CA7">
        <w:rPr>
          <w:lang w:val="en-US"/>
        </w:rPr>
        <w:fldChar w:fldCharType="end"/>
      </w:r>
      <w:r>
        <w:rPr>
          <w:lang w:val="en-US"/>
        </w:rPr>
        <w:t xml:space="preserve">). </w:t>
      </w:r>
      <w:r w:rsidR="008D5B2D">
        <w:rPr>
          <w:lang w:val="en-US"/>
        </w:rPr>
        <w:t xml:space="preserve">The ongoing and incremental loss of natural landscapes to agriculture also reduces, </w:t>
      </w:r>
      <w:r w:rsidR="00951049">
        <w:rPr>
          <w:lang w:val="en-US"/>
        </w:rPr>
        <w:t>bit by bit</w:t>
      </w:r>
      <w:r w:rsidR="008D5B2D">
        <w:rPr>
          <w:lang w:val="en-US"/>
        </w:rPr>
        <w:t xml:space="preserve">, the opportunity for CLFN peoples to participate in traditional activities in the southern portions of their traditional lands. </w:t>
      </w:r>
    </w:p>
    <w:p w:rsidR="009126EA" w:rsidRPr="008A5D61" w:rsidRDefault="009126EA" w:rsidP="008A5D61">
      <w:pPr>
        <w:pStyle w:val="BodyText"/>
        <w:rPr>
          <w:lang w:val="en-US"/>
        </w:rPr>
      </w:pPr>
      <w:r>
        <w:rPr>
          <w:lang w:val="en-US"/>
        </w:rPr>
        <w:t>Based on an a</w:t>
      </w:r>
      <w:r w:rsidR="00E77828">
        <w:rPr>
          <w:lang w:val="en-US"/>
        </w:rPr>
        <w:t xml:space="preserve">verage area-weighted density </w:t>
      </w:r>
      <w:proofErr w:type="gramStart"/>
      <w:r w:rsidR="00E77828">
        <w:rPr>
          <w:lang w:val="en-US"/>
        </w:rPr>
        <w:t xml:space="preserve">of </w:t>
      </w:r>
      <w:r>
        <w:rPr>
          <w:lang w:val="en-US"/>
        </w:rPr>
        <w:t>12 cattle/km</w:t>
      </w:r>
      <w:r w:rsidRPr="00E77828">
        <w:rPr>
          <w:vertAlign w:val="superscript"/>
          <w:lang w:val="en-US"/>
        </w:rPr>
        <w:t>2</w:t>
      </w:r>
      <w:r>
        <w:rPr>
          <w:lang w:val="en-US"/>
        </w:rPr>
        <w:t>,</w:t>
      </w:r>
      <w:proofErr w:type="gramEnd"/>
      <w:r>
        <w:rPr>
          <w:lang w:val="en-US"/>
        </w:rPr>
        <w:t xml:space="preserve"> the cattle population of CLFN SA is estimated at ~13,500.</w:t>
      </w:r>
    </w:p>
    <w:p w:rsidR="00154873" w:rsidRDefault="00AD2C50" w:rsidP="00AD45C3">
      <w:pPr>
        <w:pStyle w:val="BodyText"/>
        <w:keepNext/>
        <w:spacing w:after="0"/>
      </w:pPr>
      <w:r>
        <w:rPr>
          <w:noProof/>
          <w:lang w:val="en-US"/>
        </w:rPr>
        <w:drawing>
          <wp:inline distT="0" distB="0" distL="0" distR="0">
            <wp:extent cx="4741681" cy="3600000"/>
            <wp:effectExtent l="19050" t="19050" r="20819" b="1950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63" cstate="print"/>
                    <a:srcRect/>
                    <a:stretch>
                      <a:fillRect/>
                    </a:stretch>
                  </pic:blipFill>
                  <pic:spPr bwMode="auto">
                    <a:xfrm>
                      <a:off x="0" y="0"/>
                      <a:ext cx="4741681"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AD2C50" w:rsidRDefault="00154873" w:rsidP="00154873">
      <w:pPr>
        <w:pStyle w:val="Caption"/>
        <w:rPr>
          <w:lang w:val="en-US"/>
        </w:rPr>
      </w:pPr>
      <w:bookmarkStart w:id="124" w:name="_Ref326244932"/>
      <w:bookmarkStart w:id="125" w:name="_Toc338703831"/>
      <w:proofErr w:type="gramStart"/>
      <w:r>
        <w:t xml:space="preserve">Figure </w:t>
      </w:r>
      <w:fldSimple w:instr=" SEQ Figure \* ARABIC ">
        <w:r w:rsidR="00A02D22">
          <w:rPr>
            <w:noProof/>
          </w:rPr>
          <w:t>51</w:t>
        </w:r>
      </w:fldSimple>
      <w:bookmarkEnd w:id="124"/>
      <w:r w:rsidR="008A5D61">
        <w:t>.</w:t>
      </w:r>
      <w:proofErr w:type="gramEnd"/>
      <w:r w:rsidR="008A5D61">
        <w:t xml:space="preserve"> Agricultural lands are now defining features of southern Alberta and the southern regions of the traditional lands of CLFN.</w:t>
      </w:r>
      <w:bookmarkEnd w:id="125"/>
    </w:p>
    <w:p w:rsidR="00154873" w:rsidRDefault="009437EB" w:rsidP="00AD45C3">
      <w:pPr>
        <w:pStyle w:val="BodyText"/>
        <w:keepNext/>
        <w:spacing w:after="0"/>
      </w:pPr>
      <w:r>
        <w:rPr>
          <w:noProof/>
          <w:lang w:val="en-US"/>
        </w:rPr>
        <w:lastRenderedPageBreak/>
        <w:drawing>
          <wp:inline distT="0" distB="0" distL="0" distR="0">
            <wp:extent cx="4797126" cy="3600000"/>
            <wp:effectExtent l="19050" t="19050" r="22524" b="19500"/>
            <wp:docPr id="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srcRect/>
                    <a:stretch>
                      <a:fillRect/>
                    </a:stretch>
                  </pic:blipFill>
                  <pic:spPr bwMode="auto">
                    <a:xfrm>
                      <a:off x="0" y="0"/>
                      <a:ext cx="4797126"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AD2C50" w:rsidRDefault="00154873" w:rsidP="00154873">
      <w:pPr>
        <w:pStyle w:val="Caption"/>
        <w:rPr>
          <w:lang w:val="en-US"/>
        </w:rPr>
      </w:pPr>
      <w:bookmarkStart w:id="126" w:name="_Ref325471502"/>
      <w:bookmarkStart w:id="127" w:name="_Toc338703832"/>
      <w:proofErr w:type="gramStart"/>
      <w:r>
        <w:t xml:space="preserve">Figure </w:t>
      </w:r>
      <w:fldSimple w:instr=" SEQ Figure \* ARABIC ">
        <w:r w:rsidR="00A02D22">
          <w:rPr>
            <w:noProof/>
          </w:rPr>
          <w:t>52</w:t>
        </w:r>
      </w:fldSimple>
      <w:bookmarkEnd w:id="126"/>
      <w:r w:rsidR="006A231C">
        <w:t>.</w:t>
      </w:r>
      <w:proofErr w:type="gramEnd"/>
      <w:r w:rsidR="006A231C">
        <w:t xml:space="preserve"> History of development of Alberta’s cultivated crops in relation to traditional CLFN </w:t>
      </w:r>
      <w:r w:rsidR="004C53F9">
        <w:t>SA</w:t>
      </w:r>
      <w:r w:rsidR="006A231C">
        <w:t>.</w:t>
      </w:r>
      <w:bookmarkEnd w:id="127"/>
    </w:p>
    <w:p w:rsidR="00AD2C50" w:rsidRDefault="00AD2C50" w:rsidP="00AD2C50">
      <w:pPr>
        <w:pStyle w:val="BodyText"/>
        <w:rPr>
          <w:lang w:val="en-US"/>
        </w:rPr>
      </w:pPr>
    </w:p>
    <w:p w:rsidR="00A0648F" w:rsidRDefault="00A0648F" w:rsidP="00AD45C3">
      <w:pPr>
        <w:pStyle w:val="BodyText"/>
        <w:keepNext/>
        <w:spacing w:after="0"/>
      </w:pPr>
      <w:r>
        <w:rPr>
          <w:noProof/>
          <w:lang w:val="en-US"/>
        </w:rPr>
        <w:drawing>
          <wp:inline distT="0" distB="0" distL="0" distR="0">
            <wp:extent cx="4762229" cy="3600000"/>
            <wp:effectExtent l="19050" t="19050" r="19321" b="1950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pic:cNvPicPr>
                      <a:picLocks noChangeAspect="1" noChangeArrowheads="1"/>
                    </pic:cNvPicPr>
                  </pic:nvPicPr>
                  <pic:blipFill>
                    <a:blip r:embed="rId65" cstate="print"/>
                    <a:srcRect/>
                    <a:stretch>
                      <a:fillRect/>
                    </a:stretch>
                  </pic:blipFill>
                  <pic:spPr bwMode="auto">
                    <a:xfrm>
                      <a:off x="0" y="0"/>
                      <a:ext cx="4762229"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A0648F" w:rsidRDefault="00A0648F" w:rsidP="00A0648F">
      <w:pPr>
        <w:pStyle w:val="Caption"/>
        <w:rPr>
          <w:lang w:val="en-US"/>
        </w:rPr>
      </w:pPr>
      <w:bookmarkStart w:id="128" w:name="_Ref326245064"/>
      <w:bookmarkStart w:id="129" w:name="_Toc338703833"/>
      <w:proofErr w:type="gramStart"/>
      <w:r>
        <w:t xml:space="preserve">Figure </w:t>
      </w:r>
      <w:fldSimple w:instr=" SEQ Figure \* ARABIC ">
        <w:r w:rsidR="00A02D22">
          <w:rPr>
            <w:noProof/>
          </w:rPr>
          <w:t>53</w:t>
        </w:r>
      </w:fldSimple>
      <w:bookmarkEnd w:id="128"/>
      <w:r>
        <w:t>.</w:t>
      </w:r>
      <w:proofErr w:type="gramEnd"/>
      <w:r>
        <w:t xml:space="preserve"> Current cultivated and forage cropland in CLFN</w:t>
      </w:r>
      <w:r w:rsidR="004C53F9">
        <w:t xml:space="preserve"> SA</w:t>
      </w:r>
      <w:r>
        <w:t>.</w:t>
      </w:r>
      <w:bookmarkEnd w:id="129"/>
    </w:p>
    <w:p w:rsidR="00AD2C50" w:rsidRDefault="00AD2C50" w:rsidP="00154873">
      <w:pPr>
        <w:pStyle w:val="Caption"/>
        <w:rPr>
          <w:lang w:val="en-US"/>
        </w:rPr>
      </w:pPr>
    </w:p>
    <w:p w:rsidR="00154873" w:rsidRDefault="00D2334F" w:rsidP="00AD45C3">
      <w:pPr>
        <w:pStyle w:val="BodyText"/>
        <w:keepNext/>
        <w:spacing w:after="0"/>
      </w:pPr>
      <w:r>
        <w:rPr>
          <w:noProof/>
          <w:lang w:val="en-US"/>
        </w:rPr>
        <w:lastRenderedPageBreak/>
        <w:drawing>
          <wp:inline distT="0" distB="0" distL="0" distR="0">
            <wp:extent cx="4801542" cy="3600000"/>
            <wp:effectExtent l="19050" t="19050" r="18108" b="1950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66" cstate="print"/>
                    <a:srcRect/>
                    <a:stretch>
                      <a:fillRect/>
                    </a:stretch>
                  </pic:blipFill>
                  <pic:spPr bwMode="auto">
                    <a:xfrm>
                      <a:off x="0" y="0"/>
                      <a:ext cx="4801542"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A5D61" w:rsidRDefault="00154873" w:rsidP="008D5B2D">
      <w:pPr>
        <w:pStyle w:val="Caption"/>
        <w:rPr>
          <w:lang w:val="en-US"/>
        </w:rPr>
      </w:pPr>
      <w:bookmarkStart w:id="130" w:name="_Ref325472989"/>
      <w:bookmarkStart w:id="131" w:name="_Toc338703834"/>
      <w:proofErr w:type="gramStart"/>
      <w:r>
        <w:t xml:space="preserve">Figure </w:t>
      </w:r>
      <w:fldSimple w:instr=" SEQ Figure \* ARABIC ">
        <w:r w:rsidR="00A02D22">
          <w:rPr>
            <w:noProof/>
          </w:rPr>
          <w:t>54</w:t>
        </w:r>
      </w:fldSimple>
      <w:bookmarkEnd w:id="130"/>
      <w:r w:rsidR="006A231C">
        <w:t>.</w:t>
      </w:r>
      <w:proofErr w:type="gramEnd"/>
      <w:r w:rsidR="006A231C">
        <w:t xml:space="preserve"> </w:t>
      </w:r>
      <w:proofErr w:type="gramStart"/>
      <w:r w:rsidR="006A231C">
        <w:t xml:space="preserve">Spatial distribution of croplands </w:t>
      </w:r>
      <w:r w:rsidR="004873CC">
        <w:t xml:space="preserve">(shown in yellow) </w:t>
      </w:r>
      <w:r w:rsidR="006A231C">
        <w:t xml:space="preserve">in the southern portion </w:t>
      </w:r>
      <w:r w:rsidR="008D5B2D">
        <w:t xml:space="preserve">(White Area) </w:t>
      </w:r>
      <w:r w:rsidR="006A231C">
        <w:t xml:space="preserve">of the CLFN </w:t>
      </w:r>
      <w:r w:rsidR="00202A19">
        <w:t xml:space="preserve">SA </w:t>
      </w:r>
      <w:r w:rsidR="006A231C">
        <w:t>in relation to different soil types.</w:t>
      </w:r>
      <w:proofErr w:type="gramEnd"/>
      <w:r w:rsidR="006A231C">
        <w:t xml:space="preserve"> Source: </w:t>
      </w:r>
      <w:r w:rsidR="008D5B2D" w:rsidRPr="008D5B2D">
        <w:rPr>
          <w:lang w:val="en-US"/>
        </w:rPr>
        <w:t>Canada Land Inventory; Soil Capacity Classification for Alberta; 1969; but digitized in 2000</w:t>
      </w:r>
      <w:r w:rsidR="008D5B2D">
        <w:rPr>
          <w:lang w:val="en-US"/>
        </w:rPr>
        <w:t>.</w:t>
      </w:r>
      <w:bookmarkEnd w:id="131"/>
    </w:p>
    <w:p w:rsidR="008A5D61" w:rsidRDefault="008A5D61" w:rsidP="00AD45C3">
      <w:pPr>
        <w:pStyle w:val="BodyText"/>
        <w:keepNext/>
        <w:spacing w:after="0"/>
      </w:pPr>
      <w:r>
        <w:rPr>
          <w:noProof/>
          <w:lang w:val="en-US"/>
        </w:rPr>
        <w:drawing>
          <wp:inline distT="0" distB="0" distL="0" distR="0">
            <wp:extent cx="4768542" cy="3600000"/>
            <wp:effectExtent l="19050" t="19050" r="13008" b="19500"/>
            <wp:docPr id="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cstate="print"/>
                    <a:srcRect/>
                    <a:stretch>
                      <a:fillRect/>
                    </a:stretch>
                  </pic:blipFill>
                  <pic:spPr bwMode="auto">
                    <a:xfrm>
                      <a:off x="0" y="0"/>
                      <a:ext cx="4768542"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A5D61" w:rsidRDefault="008A5D61" w:rsidP="008A5D61">
      <w:pPr>
        <w:pStyle w:val="Caption"/>
      </w:pPr>
      <w:bookmarkStart w:id="132" w:name="_Ref325473091"/>
      <w:bookmarkStart w:id="133" w:name="_Toc338703835"/>
      <w:proofErr w:type="gramStart"/>
      <w:r>
        <w:t xml:space="preserve">Figure </w:t>
      </w:r>
      <w:fldSimple w:instr=" SEQ Figure \* ARABIC ">
        <w:r w:rsidR="00A02D22">
          <w:rPr>
            <w:noProof/>
          </w:rPr>
          <w:t>55</w:t>
        </w:r>
      </w:fldSimple>
      <w:bookmarkEnd w:id="132"/>
      <w:r>
        <w:t>.</w:t>
      </w:r>
      <w:proofErr w:type="gramEnd"/>
      <w:r>
        <w:t xml:space="preserve"> </w:t>
      </w:r>
      <w:proofErr w:type="gramStart"/>
      <w:r>
        <w:t>Expansion of croplands in the Cold Lake / Bonnyville region between 1988 and 2004.</w:t>
      </w:r>
      <w:proofErr w:type="gramEnd"/>
      <w:r>
        <w:t xml:space="preserve"> Source: Ryan Powers, University of Alberta.</w:t>
      </w:r>
      <w:bookmarkEnd w:id="133"/>
    </w:p>
    <w:p w:rsidR="00154873" w:rsidRDefault="00D2334F" w:rsidP="00AD45C3">
      <w:pPr>
        <w:pStyle w:val="BodyText"/>
        <w:keepNext/>
        <w:spacing w:after="0"/>
      </w:pPr>
      <w:r>
        <w:rPr>
          <w:noProof/>
          <w:lang w:val="en-US"/>
        </w:rPr>
        <w:lastRenderedPageBreak/>
        <w:drawing>
          <wp:inline distT="0" distB="0" distL="0" distR="0">
            <wp:extent cx="4767436" cy="3600000"/>
            <wp:effectExtent l="19050" t="19050" r="14114" b="1950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68" cstate="print"/>
                    <a:srcRect/>
                    <a:stretch>
                      <a:fillRect/>
                    </a:stretch>
                  </pic:blipFill>
                  <pic:spPr bwMode="auto">
                    <a:xfrm>
                      <a:off x="0" y="0"/>
                      <a:ext cx="4767436"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D2334F" w:rsidRDefault="00154873" w:rsidP="00154873">
      <w:pPr>
        <w:pStyle w:val="Caption"/>
      </w:pPr>
      <w:bookmarkStart w:id="134" w:name="_Ref325473093"/>
      <w:bookmarkStart w:id="135" w:name="_Toc338703836"/>
      <w:proofErr w:type="gramStart"/>
      <w:r>
        <w:t xml:space="preserve">Figure </w:t>
      </w:r>
      <w:fldSimple w:instr=" SEQ Figure \* ARABIC ">
        <w:r w:rsidR="00A02D22">
          <w:rPr>
            <w:noProof/>
          </w:rPr>
          <w:t>56</w:t>
        </w:r>
      </w:fldSimple>
      <w:bookmarkEnd w:id="134"/>
      <w:r w:rsidR="00C23C62">
        <w:t>.</w:t>
      </w:r>
      <w:proofErr w:type="gramEnd"/>
      <w:r w:rsidR="00C23C62">
        <w:t xml:space="preserve"> A</w:t>
      </w:r>
      <w:r w:rsidR="006A231C">
        <w:t xml:space="preserve">gricultural deforestation in the White Area west of CLFN </w:t>
      </w:r>
      <w:r w:rsidR="004C53F9">
        <w:t>SA</w:t>
      </w:r>
      <w:r w:rsidR="006A231C">
        <w:t>. Source: PFRA, 2000.</w:t>
      </w:r>
      <w:bookmarkEnd w:id="135"/>
    </w:p>
    <w:p w:rsidR="005966C5" w:rsidRPr="005966C5" w:rsidRDefault="005966C5" w:rsidP="005966C5">
      <w:pPr>
        <w:rPr>
          <w:lang w:eastAsia="en-CA"/>
        </w:rPr>
      </w:pPr>
    </w:p>
    <w:p w:rsidR="00154873" w:rsidRDefault="00D2334F" w:rsidP="00AD45C3">
      <w:pPr>
        <w:pStyle w:val="BodyText"/>
        <w:keepNext/>
        <w:spacing w:after="0"/>
      </w:pPr>
      <w:r>
        <w:rPr>
          <w:noProof/>
          <w:lang w:val="en-US"/>
        </w:rPr>
        <w:drawing>
          <wp:inline distT="0" distB="0" distL="0" distR="0">
            <wp:extent cx="4759846" cy="3609159"/>
            <wp:effectExtent l="19050" t="19050" r="21704" b="10341"/>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69" cstate="print"/>
                    <a:srcRect/>
                    <a:stretch>
                      <a:fillRect/>
                    </a:stretch>
                  </pic:blipFill>
                  <pic:spPr bwMode="auto">
                    <a:xfrm>
                      <a:off x="0" y="0"/>
                      <a:ext cx="4777972" cy="3622903"/>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D2334F" w:rsidRDefault="00154873" w:rsidP="00154873">
      <w:pPr>
        <w:pStyle w:val="Caption"/>
      </w:pPr>
      <w:bookmarkStart w:id="136" w:name="_Ref325473095"/>
      <w:bookmarkStart w:id="137" w:name="_Toc338703837"/>
      <w:proofErr w:type="gramStart"/>
      <w:r>
        <w:t xml:space="preserve">Figure </w:t>
      </w:r>
      <w:fldSimple w:instr=" SEQ Figure \* ARABIC ">
        <w:r w:rsidR="00A02D22">
          <w:rPr>
            <w:noProof/>
          </w:rPr>
          <w:t>57</w:t>
        </w:r>
      </w:fldSimple>
      <w:bookmarkEnd w:id="136"/>
      <w:r w:rsidR="006A231C">
        <w:t>.</w:t>
      </w:r>
      <w:proofErr w:type="gramEnd"/>
      <w:r w:rsidR="006A231C" w:rsidRPr="006A231C">
        <w:t xml:space="preserve"> </w:t>
      </w:r>
      <w:r w:rsidR="006A231C">
        <w:t>Example of agricultural deforestation in a township in the White Area west of CL</w:t>
      </w:r>
      <w:r w:rsidR="00202A19">
        <w:t>FN SA</w:t>
      </w:r>
      <w:r w:rsidR="006A231C">
        <w:t>. Areas in red reflect forest lands that were converted to agriculture during the period 1989 to 2000. Areas in green represent 1989 forest lands that were not converted. Source: PFRA, 2000.</w:t>
      </w:r>
      <w:bookmarkEnd w:id="137"/>
    </w:p>
    <w:p w:rsidR="00C23C62" w:rsidRDefault="00C23C62" w:rsidP="00C23C62">
      <w:pPr>
        <w:pStyle w:val="BodyText"/>
        <w:keepNext/>
        <w:spacing w:after="0"/>
      </w:pPr>
      <w:r>
        <w:rPr>
          <w:noProof/>
          <w:lang w:val="en-US"/>
        </w:rPr>
        <w:lastRenderedPageBreak/>
        <w:drawing>
          <wp:inline distT="0" distB="0" distL="0" distR="0">
            <wp:extent cx="4734640" cy="3600000"/>
            <wp:effectExtent l="19050" t="19050" r="27860" b="19500"/>
            <wp:docPr id="57"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70" cstate="print"/>
                    <a:srcRect/>
                    <a:stretch>
                      <a:fillRect/>
                    </a:stretch>
                  </pic:blipFill>
                  <pic:spPr bwMode="auto">
                    <a:xfrm>
                      <a:off x="0" y="0"/>
                      <a:ext cx="4734640"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C23C62" w:rsidRDefault="00C23C62" w:rsidP="00C23C62">
      <w:pPr>
        <w:pStyle w:val="Caption"/>
      </w:pPr>
      <w:bookmarkStart w:id="138" w:name="_Ref325471518"/>
      <w:bookmarkStart w:id="139" w:name="_Toc338703838"/>
      <w:proofErr w:type="gramStart"/>
      <w:r>
        <w:t xml:space="preserve">Figure </w:t>
      </w:r>
      <w:fldSimple w:instr=" SEQ Figure \* ARABIC ">
        <w:r w:rsidR="00A02D22">
          <w:rPr>
            <w:noProof/>
          </w:rPr>
          <w:t>58</w:t>
        </w:r>
      </w:fldSimple>
      <w:bookmarkEnd w:id="138"/>
      <w:r>
        <w:t>.</w:t>
      </w:r>
      <w:proofErr w:type="gramEnd"/>
      <w:r>
        <w:t xml:space="preserve"> History of development of Alberta’s cattle populations in relation to CLFN SA.</w:t>
      </w:r>
      <w:bookmarkEnd w:id="139"/>
    </w:p>
    <w:p w:rsidR="00C23C62" w:rsidRPr="00C23C62" w:rsidRDefault="00C23C62" w:rsidP="00C23C62">
      <w:pPr>
        <w:rPr>
          <w:lang w:eastAsia="en-CA"/>
        </w:rPr>
      </w:pPr>
    </w:p>
    <w:p w:rsidR="00C23C62" w:rsidRDefault="00C23C62" w:rsidP="00C23C62">
      <w:pPr>
        <w:keepNext/>
      </w:pPr>
      <w:r>
        <w:rPr>
          <w:noProof/>
          <w:lang w:val="en-US"/>
        </w:rPr>
        <w:drawing>
          <wp:inline distT="0" distB="0" distL="0" distR="0">
            <wp:extent cx="4779590" cy="3600000"/>
            <wp:effectExtent l="19050" t="19050" r="21010" b="19500"/>
            <wp:docPr id="59"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71" cstate="print"/>
                    <a:srcRect/>
                    <a:stretch>
                      <a:fillRect/>
                    </a:stretch>
                  </pic:blipFill>
                  <pic:spPr bwMode="auto">
                    <a:xfrm>
                      <a:off x="0" y="0"/>
                      <a:ext cx="4779590"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C23C62" w:rsidRPr="00C23C62" w:rsidRDefault="00C23C62" w:rsidP="00C23C62">
      <w:pPr>
        <w:pStyle w:val="Caption"/>
      </w:pPr>
      <w:bookmarkStart w:id="140" w:name="_Ref326245492"/>
      <w:bookmarkStart w:id="141" w:name="_Toc338703839"/>
      <w:proofErr w:type="gramStart"/>
      <w:r>
        <w:t xml:space="preserve">Figure </w:t>
      </w:r>
      <w:fldSimple w:instr=" SEQ Figure \* ARABIC ">
        <w:r w:rsidR="00A02D22">
          <w:rPr>
            <w:noProof/>
          </w:rPr>
          <w:t>59</w:t>
        </w:r>
      </w:fldSimple>
      <w:bookmarkEnd w:id="140"/>
      <w:r>
        <w:t>.</w:t>
      </w:r>
      <w:proofErr w:type="gramEnd"/>
      <w:r>
        <w:t xml:space="preserve"> </w:t>
      </w:r>
      <w:proofErr w:type="gramStart"/>
      <w:r w:rsidR="0041081D">
        <w:t>Historical time series</w:t>
      </w:r>
      <w:r>
        <w:t xml:space="preserve"> (1910-20</w:t>
      </w:r>
      <w:r w:rsidR="0041081D">
        <w:t>10) of cattle density in CLFN SA</w:t>
      </w:r>
      <w:r>
        <w:t>.</w:t>
      </w:r>
      <w:bookmarkEnd w:id="141"/>
      <w:proofErr w:type="gramEnd"/>
    </w:p>
    <w:p w:rsidR="00C23C62" w:rsidRPr="00C23C62" w:rsidRDefault="00C23C62" w:rsidP="00C23C62">
      <w:pPr>
        <w:rPr>
          <w:lang w:eastAsia="en-CA"/>
        </w:rPr>
      </w:pPr>
    </w:p>
    <w:p w:rsidR="00366D8C" w:rsidRDefault="00366D8C">
      <w:pPr>
        <w:spacing w:after="200" w:line="276" w:lineRule="auto"/>
        <w:rPr>
          <w:rFonts w:ascii="Arial" w:hAnsi="Arial"/>
          <w:b/>
          <w:caps/>
          <w:kern w:val="28"/>
          <w:lang w:val="en-US"/>
        </w:rPr>
      </w:pPr>
      <w:r>
        <w:br w:type="page"/>
      </w:r>
    </w:p>
    <w:p w:rsidR="00871C3E" w:rsidRDefault="00871C3E" w:rsidP="00871C3E">
      <w:pPr>
        <w:pStyle w:val="Heading2"/>
      </w:pPr>
      <w:bookmarkStart w:id="142" w:name="_Toc338703691"/>
      <w:r>
        <w:lastRenderedPageBreak/>
        <w:t>Military</w:t>
      </w:r>
      <w:bookmarkEnd w:id="142"/>
    </w:p>
    <w:p w:rsidR="00697BFA" w:rsidRDefault="00E178B8" w:rsidP="00402944">
      <w:pPr>
        <w:pStyle w:val="BodyText"/>
      </w:pPr>
      <w:r>
        <w:t xml:space="preserve">In 1952, a </w:t>
      </w:r>
      <w:r w:rsidR="00C544DE">
        <w:t>land-use</w:t>
      </w:r>
      <w:r>
        <w:t xml:space="preserve"> decisi</w:t>
      </w:r>
      <w:r w:rsidR="00402944">
        <w:t xml:space="preserve">on by the Governments of Canada, </w:t>
      </w:r>
      <w:r>
        <w:t>Alberta</w:t>
      </w:r>
      <w:r w:rsidR="00402944">
        <w:t>, and Saskatchewan</w:t>
      </w:r>
      <w:r>
        <w:t xml:space="preserve"> occurred that woul</w:t>
      </w:r>
      <w:r w:rsidR="00402944">
        <w:t xml:space="preserve">d profoundly affect </w:t>
      </w:r>
      <w:r>
        <w:t>CLFN. The establishment of the Cold Lake Air Weapons Range (CLAWR; also referred to as Primrose Air Weapons Range</w:t>
      </w:r>
      <w:r w:rsidR="00A004E4">
        <w:t>; (</w:t>
      </w:r>
      <w:r w:rsidR="00575CA7">
        <w:fldChar w:fldCharType="begin"/>
      </w:r>
      <w:r w:rsidR="006959DD">
        <w:instrText xml:space="preserve"> REF _Ref326246139 \h </w:instrText>
      </w:r>
      <w:r w:rsidR="00575CA7">
        <w:fldChar w:fldCharType="separate"/>
      </w:r>
      <w:r w:rsidR="003648B8">
        <w:t xml:space="preserve">Figure </w:t>
      </w:r>
      <w:r w:rsidR="003648B8">
        <w:rPr>
          <w:noProof/>
        </w:rPr>
        <w:t>60</w:t>
      </w:r>
      <w:r w:rsidR="00575CA7">
        <w:fldChar w:fldCharType="end"/>
      </w:r>
      <w:r w:rsidR="006959DD">
        <w:t xml:space="preserve"> and </w:t>
      </w:r>
      <w:r w:rsidR="00575CA7">
        <w:fldChar w:fldCharType="begin"/>
      </w:r>
      <w:r w:rsidR="00A004E4">
        <w:instrText xml:space="preserve"> REF _Ref325474416 \h </w:instrText>
      </w:r>
      <w:r w:rsidR="00575CA7">
        <w:fldChar w:fldCharType="separate"/>
      </w:r>
      <w:r w:rsidR="003648B8">
        <w:t xml:space="preserve">Figure </w:t>
      </w:r>
      <w:r w:rsidR="003648B8">
        <w:rPr>
          <w:noProof/>
        </w:rPr>
        <w:t>61</w:t>
      </w:r>
      <w:r w:rsidR="00575CA7">
        <w:fldChar w:fldCharType="end"/>
      </w:r>
      <w:r>
        <w:t xml:space="preserve">), ~470,000 ha (within CLFN </w:t>
      </w:r>
      <w:r w:rsidR="00EF6CE0">
        <w:t xml:space="preserve">Traditional Territory </w:t>
      </w:r>
      <w:r>
        <w:t xml:space="preserve">on </w:t>
      </w:r>
      <w:r w:rsidR="00491BFE">
        <w:t xml:space="preserve">the </w:t>
      </w:r>
      <w:r>
        <w:t xml:space="preserve">Alberta side) in size and located in the middle of their </w:t>
      </w:r>
      <w:r w:rsidR="00402944">
        <w:t>Traditional Territory</w:t>
      </w:r>
      <w:r>
        <w:t>, prevented the CLFN from accessing the central portions of their traditional lands</w:t>
      </w:r>
      <w:r w:rsidR="00491BFE">
        <w:t>,</w:t>
      </w:r>
      <w:r>
        <w:t xml:space="preserve"> and made it logistically difficult to gain access to the northern regions.</w:t>
      </w:r>
      <w:r w:rsidR="00402944">
        <w:t xml:space="preserve"> The Ind</w:t>
      </w:r>
      <w:r w:rsidR="00697BFA">
        <w:t>ian Claims Commission concluded</w:t>
      </w:r>
    </w:p>
    <w:p w:rsidR="00402944" w:rsidRDefault="00402944" w:rsidP="00402944">
      <w:pPr>
        <w:pStyle w:val="BodyText"/>
      </w:pPr>
      <w:r>
        <w:t>“</w:t>
      </w:r>
      <w:r w:rsidR="00E21C07">
        <w:rPr>
          <w:i/>
        </w:rPr>
        <w:t>T</w:t>
      </w:r>
      <w:r w:rsidRPr="00011F1E">
        <w:rPr>
          <w:i/>
        </w:rPr>
        <w:t>here can be no dispute that the exclusion of the people of Cold Lake from the air weapons range substantially impaired their livelihoods and their access to food and other resources.  The results of that</w:t>
      </w:r>
      <w:r w:rsidR="00011F1E" w:rsidRPr="00011F1E">
        <w:rPr>
          <w:i/>
        </w:rPr>
        <w:t xml:space="preserve"> event continue as a sense of lo</w:t>
      </w:r>
      <w:r w:rsidRPr="00011F1E">
        <w:rPr>
          <w:i/>
        </w:rPr>
        <w:t>ss and a source of grievance in the community and the results are still painfully evident.  The damage to the community was not only financial, it was psychological and spiritual.</w:t>
      </w:r>
      <w:r>
        <w:t>” (p. 118)</w:t>
      </w:r>
    </w:p>
    <w:p w:rsidR="00723781" w:rsidRDefault="00366D8C" w:rsidP="00E178B8">
      <w:pPr>
        <w:pStyle w:val="BodyText"/>
      </w:pPr>
      <w:r>
        <w:t>During the period of full exclusion of CLFN</w:t>
      </w:r>
      <w:r w:rsidR="00011F1E">
        <w:t xml:space="preserve"> from their Traditional Territory in</w:t>
      </w:r>
      <w:r>
        <w:t xml:space="preserve"> CLAWR, extensive access to CLAWR was granted to oil and gas companies for purposes of constructing and operating hydrocarbon infrastructure. </w:t>
      </w:r>
      <w:r w:rsidR="00011F1E">
        <w:t xml:space="preserve">Following the Indian Claims Commission and </w:t>
      </w:r>
      <w:r w:rsidR="00F764E9">
        <w:t>subsequent</w:t>
      </w:r>
      <w:r w:rsidR="00011F1E">
        <w:t xml:space="preserve"> intense negotiations, in 2002</w:t>
      </w:r>
      <w:r w:rsidR="00A004E4">
        <w:t xml:space="preserve">, </w:t>
      </w:r>
      <w:r>
        <w:t xml:space="preserve">~50 years following the abolishment of CLFN peoples from CLAWR, </w:t>
      </w:r>
      <w:r w:rsidR="00BC6BFC">
        <w:t xml:space="preserve">Canada, </w:t>
      </w:r>
      <w:r w:rsidR="00E77828">
        <w:t>Alberta</w:t>
      </w:r>
      <w:r w:rsidR="00BC6BFC">
        <w:t xml:space="preserve">, and CLFN </w:t>
      </w:r>
      <w:r w:rsidR="00011F1E">
        <w:t xml:space="preserve">entered into a Settlement and Access Agreement whereby some level of access to CLAWR was restored to CLFN for traditional purposes. </w:t>
      </w:r>
      <w:r w:rsidR="00A004E4">
        <w:t>An attempt to quantify the current level</w:t>
      </w:r>
      <w:r>
        <w:t xml:space="preserve"> of access by CLFN peoples to CLAWR is provided in </w:t>
      </w:r>
      <w:r w:rsidR="00575CA7">
        <w:fldChar w:fldCharType="begin"/>
      </w:r>
      <w:r>
        <w:instrText xml:space="preserve"> REF _Ref325475161 \h </w:instrText>
      </w:r>
      <w:r w:rsidR="00575CA7">
        <w:fldChar w:fldCharType="separate"/>
      </w:r>
      <w:r w:rsidR="003648B8">
        <w:t xml:space="preserve">Figure </w:t>
      </w:r>
      <w:r w:rsidR="003648B8">
        <w:rPr>
          <w:noProof/>
        </w:rPr>
        <w:t>62</w:t>
      </w:r>
      <w:r w:rsidR="00575CA7">
        <w:fldChar w:fldCharType="end"/>
      </w:r>
      <w:r>
        <w:t xml:space="preserve">. The major constraint categories influencing </w:t>
      </w:r>
      <w:r w:rsidR="00011F1E">
        <w:t xml:space="preserve">limitations </w:t>
      </w:r>
      <w:r w:rsidR="0068131E">
        <w:t>to</w:t>
      </w:r>
      <w:r w:rsidR="00011F1E">
        <w:t xml:space="preserve"> </w:t>
      </w:r>
      <w:r>
        <w:t>access include</w:t>
      </w:r>
      <w:r w:rsidR="00491BFE">
        <w:t xml:space="preserve"> lack </w:t>
      </w:r>
      <w:r w:rsidR="006D27F0">
        <w:t>of night</w:t>
      </w:r>
      <w:r>
        <w:t xml:space="preserve"> visitation</w:t>
      </w:r>
      <w:r w:rsidR="00491BFE">
        <w:t xml:space="preserve"> rights</w:t>
      </w:r>
      <w:r>
        <w:t>, weekday restrictions, military activities</w:t>
      </w:r>
      <w:r w:rsidR="00907329">
        <w:t xml:space="preserve"> that render some areas unsafe</w:t>
      </w:r>
      <w:r>
        <w:t xml:space="preserve">, access </w:t>
      </w:r>
      <w:r w:rsidR="00F764E9">
        <w:t>restrictions</w:t>
      </w:r>
      <w:r>
        <w:t xml:space="preserve"> </w:t>
      </w:r>
      <w:r w:rsidR="00491BFE">
        <w:t xml:space="preserve">by </w:t>
      </w:r>
      <w:r>
        <w:t>gates, and inconvenience/incompatibility of current paperwork</w:t>
      </w:r>
      <w:r w:rsidR="00F764E9">
        <w:t xml:space="preserve"> and notification</w:t>
      </w:r>
      <w:r>
        <w:t xml:space="preserve"> protocols. </w:t>
      </w:r>
    </w:p>
    <w:p w:rsidR="00742F7F" w:rsidRDefault="00723781" w:rsidP="00723781">
      <w:pPr>
        <w:pStyle w:val="BodyText"/>
      </w:pPr>
      <w:r>
        <w:t xml:space="preserve">The legacy of a historical restriction to access </w:t>
      </w:r>
      <w:r w:rsidR="00F764E9">
        <w:t>in</w:t>
      </w:r>
      <w:r>
        <w:t xml:space="preserve"> the CLAWR has led to a discontinuity of cultural </w:t>
      </w:r>
      <w:r w:rsidR="00BC6BFC">
        <w:t>connection</w:t>
      </w:r>
      <w:r>
        <w:t xml:space="preserve"> to </w:t>
      </w:r>
      <w:r w:rsidR="00BC6BFC">
        <w:t xml:space="preserve">their </w:t>
      </w:r>
      <w:r>
        <w:t xml:space="preserve">Traditional Territory, and the degeneration of significant cultural sites. Consequently, access to the CLAWR is currently estimated at only </w:t>
      </w:r>
      <w:r w:rsidR="00742F7F">
        <w:t>3.8</w:t>
      </w:r>
      <w:r>
        <w:t>% of the pre-CLAWR era (</w:t>
      </w:r>
      <w:r w:rsidR="00575CA7">
        <w:fldChar w:fldCharType="begin"/>
      </w:r>
      <w:r>
        <w:instrText xml:space="preserve"> REF _Ref325475161 \h </w:instrText>
      </w:r>
      <w:r w:rsidR="00575CA7">
        <w:fldChar w:fldCharType="separate"/>
      </w:r>
      <w:r w:rsidR="003648B8">
        <w:t xml:space="preserve">Figure </w:t>
      </w:r>
      <w:r w:rsidR="003648B8">
        <w:rPr>
          <w:noProof/>
        </w:rPr>
        <w:t>62</w:t>
      </w:r>
      <w:r w:rsidR="00575CA7">
        <w:fldChar w:fldCharType="end"/>
      </w:r>
      <w:r>
        <w:t>).</w:t>
      </w:r>
      <w:r w:rsidR="00742F7F">
        <w:t xml:space="preserve"> Current constraints categories that collectively reduce access of CLFN to CLAWR include:</w:t>
      </w:r>
    </w:p>
    <w:p w:rsidR="00742F7F" w:rsidRDefault="00742F7F" w:rsidP="00742F7F">
      <w:pPr>
        <w:pStyle w:val="BodyText"/>
        <w:numPr>
          <w:ilvl w:val="0"/>
          <w:numId w:val="38"/>
        </w:numPr>
        <w:spacing w:after="0"/>
      </w:pPr>
      <w:r>
        <w:t>Access not permitted at night</w:t>
      </w:r>
    </w:p>
    <w:p w:rsidR="00742F7F" w:rsidRDefault="00742F7F" w:rsidP="00742F7F">
      <w:pPr>
        <w:pStyle w:val="BodyText"/>
        <w:numPr>
          <w:ilvl w:val="0"/>
          <w:numId w:val="38"/>
        </w:numPr>
        <w:spacing w:after="0"/>
      </w:pPr>
      <w:r>
        <w:t>Access largely restricted to weekends</w:t>
      </w:r>
    </w:p>
    <w:p w:rsidR="00742F7F" w:rsidRDefault="00742F7F" w:rsidP="00742F7F">
      <w:pPr>
        <w:pStyle w:val="BodyText"/>
        <w:numPr>
          <w:ilvl w:val="0"/>
          <w:numId w:val="38"/>
        </w:numPr>
        <w:spacing w:after="0"/>
      </w:pPr>
      <w:r>
        <w:t>Access not permitted in locations of active military or energy sector activity</w:t>
      </w:r>
    </w:p>
    <w:p w:rsidR="00742F7F" w:rsidRDefault="00742F7F" w:rsidP="00742F7F">
      <w:pPr>
        <w:pStyle w:val="BodyText"/>
        <w:numPr>
          <w:ilvl w:val="0"/>
          <w:numId w:val="38"/>
        </w:numPr>
        <w:spacing w:after="0"/>
      </w:pPr>
      <w:r>
        <w:t>Access restricted to entrance through gates</w:t>
      </w:r>
    </w:p>
    <w:p w:rsidR="00742F7F" w:rsidRDefault="00742F7F" w:rsidP="00742F7F">
      <w:pPr>
        <w:pStyle w:val="BodyText"/>
        <w:numPr>
          <w:ilvl w:val="0"/>
          <w:numId w:val="38"/>
        </w:numPr>
        <w:spacing w:after="0"/>
      </w:pPr>
      <w:r>
        <w:t>Access restricted to those not capable to follow paperwork protocols</w:t>
      </w:r>
    </w:p>
    <w:p w:rsidR="00742F7F" w:rsidRDefault="00742F7F" w:rsidP="00742F7F">
      <w:pPr>
        <w:pStyle w:val="BodyText"/>
        <w:spacing w:after="0"/>
      </w:pPr>
    </w:p>
    <w:p w:rsidR="00723781" w:rsidRDefault="00723781" w:rsidP="00723781">
      <w:pPr>
        <w:pStyle w:val="BodyText"/>
      </w:pPr>
      <w:r>
        <w:t xml:space="preserve">The network of cultural features that have been developed by CLFN during their occupation of the landscape </w:t>
      </w:r>
      <w:r w:rsidR="00BC6BFC">
        <w:t>prior to the establishment of the</w:t>
      </w:r>
      <w:r>
        <w:t xml:space="preserve"> </w:t>
      </w:r>
      <w:r w:rsidR="005845C4">
        <w:t>CLAWR</w:t>
      </w:r>
      <w:r>
        <w:t xml:space="preserve"> is largely unused and in the process of de</w:t>
      </w:r>
      <w:r w:rsidR="006959DD">
        <w:t xml:space="preserve">composition. As indicated in </w:t>
      </w:r>
      <w:r w:rsidR="00575CA7">
        <w:fldChar w:fldCharType="begin"/>
      </w:r>
      <w:r w:rsidR="006959DD">
        <w:instrText xml:space="preserve"> REF _Ref325886830 \h </w:instrText>
      </w:r>
      <w:r w:rsidR="00575CA7">
        <w:fldChar w:fldCharType="separate"/>
      </w:r>
      <w:r w:rsidR="003648B8">
        <w:t xml:space="preserve">Figure </w:t>
      </w:r>
      <w:r w:rsidR="003648B8">
        <w:rPr>
          <w:noProof/>
        </w:rPr>
        <w:t>63</w:t>
      </w:r>
      <w:r w:rsidR="00575CA7">
        <w:fldChar w:fldCharType="end"/>
      </w:r>
      <w:r>
        <w:t>, this includes many dozens of cabins sca</w:t>
      </w:r>
      <w:r w:rsidR="006959DD">
        <w:t>ttered throughout the CLAWR</w:t>
      </w:r>
      <w:r>
        <w:t>.</w:t>
      </w:r>
    </w:p>
    <w:p w:rsidR="00723781" w:rsidRDefault="00723781" w:rsidP="00E178B8">
      <w:pPr>
        <w:pStyle w:val="BodyText"/>
      </w:pPr>
    </w:p>
    <w:p w:rsidR="00E178B8" w:rsidRDefault="00E178B8" w:rsidP="00C467D3">
      <w:pPr>
        <w:pStyle w:val="BodyText"/>
        <w:keepNext/>
        <w:spacing w:after="0"/>
      </w:pPr>
      <w:r>
        <w:rPr>
          <w:noProof/>
          <w:lang w:val="en-US"/>
        </w:rPr>
        <w:lastRenderedPageBreak/>
        <w:drawing>
          <wp:inline distT="0" distB="0" distL="0" distR="0">
            <wp:extent cx="4789426" cy="3600000"/>
            <wp:effectExtent l="19050" t="19050" r="11174" b="1950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2" cstate="print"/>
                    <a:srcRect/>
                    <a:stretch>
                      <a:fillRect/>
                    </a:stretch>
                  </pic:blipFill>
                  <pic:spPr bwMode="auto">
                    <a:xfrm>
                      <a:off x="0" y="0"/>
                      <a:ext cx="4789426"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E178B8" w:rsidRDefault="00E178B8" w:rsidP="00E178B8">
      <w:pPr>
        <w:pStyle w:val="Caption"/>
      </w:pPr>
      <w:bookmarkStart w:id="143" w:name="_Ref326246139"/>
      <w:bookmarkStart w:id="144" w:name="_Toc338703840"/>
      <w:proofErr w:type="gramStart"/>
      <w:r>
        <w:t xml:space="preserve">Figure </w:t>
      </w:r>
      <w:fldSimple w:instr=" SEQ Figure \* ARABIC ">
        <w:r w:rsidR="00A02D22">
          <w:rPr>
            <w:noProof/>
          </w:rPr>
          <w:t>60</w:t>
        </w:r>
      </w:fldSimple>
      <w:bookmarkEnd w:id="143"/>
      <w:r>
        <w:t>.</w:t>
      </w:r>
      <w:proofErr w:type="gramEnd"/>
      <w:r>
        <w:t xml:space="preserve"> The Cold Lake Air Weapons </w:t>
      </w:r>
      <w:r w:rsidR="00742F7F">
        <w:t>Range</w:t>
      </w:r>
      <w:r>
        <w:t xml:space="preserve"> is now the largest and most extensive </w:t>
      </w:r>
      <w:r w:rsidR="00C544DE">
        <w:t>land-use</w:t>
      </w:r>
      <w:r>
        <w:t xml:space="preserve"> occurring on CLFN</w:t>
      </w:r>
      <w:r w:rsidR="00202A19">
        <w:t xml:space="preserve"> SA</w:t>
      </w:r>
      <w:r>
        <w:t>.</w:t>
      </w:r>
      <w:bookmarkEnd w:id="144"/>
    </w:p>
    <w:p w:rsidR="00E77828" w:rsidRPr="00E77828" w:rsidRDefault="00E77828" w:rsidP="00E77828">
      <w:pPr>
        <w:rPr>
          <w:lang w:eastAsia="en-CA"/>
        </w:rPr>
      </w:pPr>
    </w:p>
    <w:p w:rsidR="00E178B8" w:rsidRDefault="00E178B8" w:rsidP="00AD45C3">
      <w:pPr>
        <w:pStyle w:val="BodyText"/>
        <w:keepNext/>
        <w:spacing w:after="0"/>
      </w:pPr>
      <w:r>
        <w:rPr>
          <w:noProof/>
          <w:lang w:val="en-US"/>
        </w:rPr>
        <w:drawing>
          <wp:inline distT="0" distB="0" distL="0" distR="0">
            <wp:extent cx="4772940" cy="3600000"/>
            <wp:effectExtent l="19050" t="19050" r="27660" b="19500"/>
            <wp:docPr id="73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3" cstate="print"/>
                    <a:srcRect/>
                    <a:stretch>
                      <a:fillRect/>
                    </a:stretch>
                  </pic:blipFill>
                  <pic:spPr bwMode="auto">
                    <a:xfrm>
                      <a:off x="0" y="0"/>
                      <a:ext cx="4772940"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E178B8" w:rsidRDefault="00E178B8" w:rsidP="00E178B8">
      <w:pPr>
        <w:pStyle w:val="Caption"/>
      </w:pPr>
      <w:bookmarkStart w:id="145" w:name="_Ref325474416"/>
      <w:bookmarkStart w:id="146" w:name="_Toc338703841"/>
      <w:proofErr w:type="gramStart"/>
      <w:r>
        <w:t xml:space="preserve">Figure </w:t>
      </w:r>
      <w:fldSimple w:instr=" SEQ Figure \* ARABIC ">
        <w:r w:rsidR="00A02D22">
          <w:rPr>
            <w:noProof/>
          </w:rPr>
          <w:t>61</w:t>
        </w:r>
      </w:fldSimple>
      <w:bookmarkEnd w:id="145"/>
      <w:r>
        <w:t>.</w:t>
      </w:r>
      <w:proofErr w:type="gramEnd"/>
      <w:r>
        <w:t xml:space="preserve"> Location and size of the Cold Lake Air Weapons </w:t>
      </w:r>
      <w:proofErr w:type="gramStart"/>
      <w:r w:rsidR="00742F7F">
        <w:t xml:space="preserve">Range </w:t>
      </w:r>
      <w:r w:rsidR="004C53F9">
        <w:t xml:space="preserve"> relative</w:t>
      </w:r>
      <w:proofErr w:type="gramEnd"/>
      <w:r w:rsidR="004C53F9">
        <w:t xml:space="preserve"> to the </w:t>
      </w:r>
      <w:r w:rsidR="0041081D">
        <w:t>CLFN Traditional Territory.</w:t>
      </w:r>
      <w:bookmarkEnd w:id="146"/>
    </w:p>
    <w:p w:rsidR="00366D8C" w:rsidRPr="00366D8C" w:rsidRDefault="00366D8C" w:rsidP="00366D8C">
      <w:pPr>
        <w:rPr>
          <w:lang w:eastAsia="en-CA"/>
        </w:rPr>
      </w:pPr>
    </w:p>
    <w:p w:rsidR="00E178B8" w:rsidRDefault="00742F7F" w:rsidP="00AD45C3">
      <w:pPr>
        <w:pStyle w:val="BodyText"/>
        <w:keepNext/>
        <w:spacing w:after="0"/>
      </w:pPr>
      <w:r>
        <w:rPr>
          <w:noProof/>
          <w:lang w:val="en-US"/>
        </w:rPr>
        <w:lastRenderedPageBreak/>
        <w:drawing>
          <wp:inline distT="0" distB="0" distL="0" distR="0">
            <wp:extent cx="4739616" cy="3600000"/>
            <wp:effectExtent l="19050" t="19050" r="22884" b="19500"/>
            <wp:docPr id="7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srcRect/>
                    <a:stretch>
                      <a:fillRect/>
                    </a:stretch>
                  </pic:blipFill>
                  <pic:spPr bwMode="auto">
                    <a:xfrm>
                      <a:off x="0" y="0"/>
                      <a:ext cx="4739616"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E178B8" w:rsidRDefault="00E178B8" w:rsidP="00E178B8">
      <w:pPr>
        <w:pStyle w:val="Caption"/>
      </w:pPr>
      <w:bookmarkStart w:id="147" w:name="_Ref325475161"/>
      <w:bookmarkStart w:id="148" w:name="_Toc338703842"/>
      <w:proofErr w:type="gramStart"/>
      <w:r>
        <w:t xml:space="preserve">Figure </w:t>
      </w:r>
      <w:fldSimple w:instr=" SEQ Figure \* ARABIC ">
        <w:r w:rsidR="00A02D22">
          <w:rPr>
            <w:noProof/>
          </w:rPr>
          <w:t>62</w:t>
        </w:r>
      </w:fldSimple>
      <w:bookmarkEnd w:id="147"/>
      <w:r>
        <w:t>.</w:t>
      </w:r>
      <w:proofErr w:type="gramEnd"/>
      <w:r>
        <w:t xml:space="preserve"> Estimating</w:t>
      </w:r>
      <w:r w:rsidR="008174B1">
        <w:t xml:space="preserve"> combined</w:t>
      </w:r>
      <w:r>
        <w:t xml:space="preserve"> access </w:t>
      </w:r>
      <w:r w:rsidR="008174B1">
        <w:t xml:space="preserve">constraints </w:t>
      </w:r>
      <w:r>
        <w:t xml:space="preserve">of Cold Lake Air Weapons </w:t>
      </w:r>
      <w:r w:rsidR="00742F7F">
        <w:t>Range</w:t>
      </w:r>
      <w:r>
        <w:t xml:space="preserve"> by CLFN.</w:t>
      </w:r>
      <w:bookmarkEnd w:id="148"/>
    </w:p>
    <w:p w:rsidR="00697BFA" w:rsidRPr="00697BFA" w:rsidRDefault="00697BFA" w:rsidP="00697BFA">
      <w:pPr>
        <w:rPr>
          <w:lang w:eastAsia="en-CA"/>
        </w:rPr>
      </w:pPr>
    </w:p>
    <w:p w:rsidR="00697BFA" w:rsidRDefault="00697BFA" w:rsidP="00697BFA">
      <w:pPr>
        <w:keepNext/>
      </w:pPr>
      <w:r>
        <w:rPr>
          <w:noProof/>
          <w:lang w:val="en-US"/>
        </w:rPr>
        <w:drawing>
          <wp:inline distT="0" distB="0" distL="0" distR="0">
            <wp:extent cx="4800000" cy="3600000"/>
            <wp:effectExtent l="19050" t="19050" r="19650" b="1950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75" cstate="print"/>
                    <a:srcRect/>
                    <a:stretch>
                      <a:fillRect/>
                    </a:stretch>
                  </pic:blipFill>
                  <pic:spPr bwMode="auto">
                    <a:xfrm>
                      <a:off x="0" y="0"/>
                      <a:ext cx="4800000"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697BFA" w:rsidRPr="00697BFA" w:rsidRDefault="00697BFA" w:rsidP="00697BFA">
      <w:pPr>
        <w:pStyle w:val="Caption"/>
      </w:pPr>
      <w:bookmarkStart w:id="149" w:name="_Ref325886830"/>
      <w:bookmarkStart w:id="150" w:name="_Ref325876471"/>
      <w:bookmarkStart w:id="151" w:name="_Toc338703843"/>
      <w:proofErr w:type="gramStart"/>
      <w:r>
        <w:t xml:space="preserve">Figure </w:t>
      </w:r>
      <w:fldSimple w:instr=" SEQ Figure \* ARABIC ">
        <w:r w:rsidR="00A02D22">
          <w:rPr>
            <w:noProof/>
          </w:rPr>
          <w:t>63</w:t>
        </w:r>
      </w:fldSimple>
      <w:bookmarkEnd w:id="149"/>
      <w:r>
        <w:t>.</w:t>
      </w:r>
      <w:proofErr w:type="gramEnd"/>
      <w:r>
        <w:t xml:space="preserve"> The pre-CLAWR network of many dozens of cabins are unused, not maintained, and are in the process of decay.</w:t>
      </w:r>
      <w:bookmarkEnd w:id="150"/>
      <w:bookmarkEnd w:id="151"/>
    </w:p>
    <w:p w:rsidR="00640475" w:rsidRDefault="00640475">
      <w:pPr>
        <w:spacing w:after="200" w:line="276" w:lineRule="auto"/>
        <w:rPr>
          <w:rFonts w:ascii="Arial" w:hAnsi="Arial"/>
          <w:b/>
          <w:caps/>
          <w:kern w:val="28"/>
          <w:lang w:val="en-US"/>
        </w:rPr>
      </w:pPr>
      <w:r>
        <w:br w:type="page"/>
      </w:r>
    </w:p>
    <w:p w:rsidR="00871C3E" w:rsidRDefault="009D0827" w:rsidP="00871C3E">
      <w:pPr>
        <w:pStyle w:val="Heading2"/>
      </w:pPr>
      <w:bookmarkStart w:id="152" w:name="_Toc338703692"/>
      <w:r>
        <w:lastRenderedPageBreak/>
        <w:t>Provincial parks</w:t>
      </w:r>
      <w:r w:rsidR="00011F1E">
        <w:t xml:space="preserve"> and Recreation Areas</w:t>
      </w:r>
      <w:bookmarkEnd w:id="152"/>
    </w:p>
    <w:p w:rsidR="00740C2C" w:rsidRDefault="00C3555D" w:rsidP="00740C2C">
      <w:pPr>
        <w:pStyle w:val="BodyText"/>
        <w:rPr>
          <w:lang w:val="en-US"/>
        </w:rPr>
      </w:pPr>
      <w:r>
        <w:rPr>
          <w:lang w:val="en-US"/>
        </w:rPr>
        <w:t>The provincial park network comprises 6,643 ha</w:t>
      </w:r>
      <w:r w:rsidR="00740C2C">
        <w:rPr>
          <w:lang w:val="en-US"/>
        </w:rPr>
        <w:t xml:space="preserve"> </w:t>
      </w:r>
      <w:r>
        <w:rPr>
          <w:lang w:val="en-US"/>
        </w:rPr>
        <w:t xml:space="preserve">of the </w:t>
      </w:r>
      <w:r w:rsidR="00740C2C">
        <w:rPr>
          <w:lang w:val="en-US"/>
        </w:rPr>
        <w:t xml:space="preserve">CLFN </w:t>
      </w:r>
      <w:r>
        <w:rPr>
          <w:lang w:val="en-US"/>
        </w:rPr>
        <w:t>SA</w:t>
      </w:r>
      <w:r w:rsidR="00740C2C">
        <w:rPr>
          <w:lang w:val="en-US"/>
        </w:rPr>
        <w:t xml:space="preserve">. There is controversy among the CLFN people concerning </w:t>
      </w:r>
      <w:r w:rsidR="00011F1E">
        <w:rPr>
          <w:lang w:val="en-US"/>
        </w:rPr>
        <w:t xml:space="preserve">the establishment of provincial parks and recreation areas around Cold Lake which are </w:t>
      </w:r>
      <w:r w:rsidR="009A7EE0">
        <w:rPr>
          <w:lang w:val="en-US"/>
        </w:rPr>
        <w:t>situated</w:t>
      </w:r>
      <w:r w:rsidR="00011F1E">
        <w:rPr>
          <w:lang w:val="en-US"/>
        </w:rPr>
        <w:t xml:space="preserve"> on the Nation’s longstanding important cultural and traditional use sites. Generally, CLFN members are unable to exercise many of their traditional activities within park boundaries</w:t>
      </w:r>
      <w:r w:rsidR="006959DD">
        <w:rPr>
          <w:lang w:val="en-US"/>
        </w:rPr>
        <w:t xml:space="preserve"> (</w:t>
      </w:r>
      <w:r w:rsidR="00575CA7">
        <w:rPr>
          <w:lang w:val="en-US"/>
        </w:rPr>
        <w:fldChar w:fldCharType="begin"/>
      </w:r>
      <w:r w:rsidR="006959DD">
        <w:rPr>
          <w:lang w:val="en-US"/>
        </w:rPr>
        <w:instrText xml:space="preserve"> REF _Ref326246635 \h </w:instrText>
      </w:r>
      <w:r w:rsidR="00575CA7">
        <w:rPr>
          <w:lang w:val="en-US"/>
        </w:rPr>
      </w:r>
      <w:r w:rsidR="00575CA7">
        <w:rPr>
          <w:lang w:val="en-US"/>
        </w:rPr>
        <w:fldChar w:fldCharType="separate"/>
      </w:r>
      <w:r w:rsidR="003648B8">
        <w:t xml:space="preserve">Figure </w:t>
      </w:r>
      <w:r w:rsidR="003648B8">
        <w:rPr>
          <w:noProof/>
        </w:rPr>
        <w:t>64</w:t>
      </w:r>
      <w:r w:rsidR="00575CA7">
        <w:rPr>
          <w:lang w:val="en-US"/>
        </w:rPr>
        <w:fldChar w:fldCharType="end"/>
      </w:r>
      <w:r w:rsidR="006959DD">
        <w:rPr>
          <w:lang w:val="en-US"/>
        </w:rPr>
        <w:t xml:space="preserve">, </w:t>
      </w:r>
      <w:r w:rsidR="00575CA7">
        <w:rPr>
          <w:lang w:val="en-US"/>
        </w:rPr>
        <w:fldChar w:fldCharType="begin"/>
      </w:r>
      <w:r w:rsidR="006959DD">
        <w:rPr>
          <w:lang w:val="en-US"/>
        </w:rPr>
        <w:instrText xml:space="preserve"> REF _Ref326246648 \h </w:instrText>
      </w:r>
      <w:r w:rsidR="00575CA7">
        <w:rPr>
          <w:lang w:val="en-US"/>
        </w:rPr>
      </w:r>
      <w:r w:rsidR="00575CA7">
        <w:rPr>
          <w:lang w:val="en-US"/>
        </w:rPr>
        <w:fldChar w:fldCharType="separate"/>
      </w:r>
      <w:r w:rsidR="003648B8">
        <w:t xml:space="preserve">Figure </w:t>
      </w:r>
      <w:r w:rsidR="003648B8">
        <w:rPr>
          <w:noProof/>
        </w:rPr>
        <w:t>65</w:t>
      </w:r>
      <w:r w:rsidR="00575CA7">
        <w:rPr>
          <w:lang w:val="en-US"/>
        </w:rPr>
        <w:fldChar w:fldCharType="end"/>
      </w:r>
      <w:r w:rsidR="006959DD">
        <w:rPr>
          <w:lang w:val="en-US"/>
        </w:rPr>
        <w:t xml:space="preserve">, </w:t>
      </w:r>
      <w:r w:rsidR="00575CA7">
        <w:rPr>
          <w:lang w:val="en-US"/>
        </w:rPr>
        <w:fldChar w:fldCharType="begin"/>
      </w:r>
      <w:r w:rsidR="006959DD">
        <w:rPr>
          <w:lang w:val="en-US"/>
        </w:rPr>
        <w:instrText xml:space="preserve"> REF _Ref326246651 \h </w:instrText>
      </w:r>
      <w:r w:rsidR="00575CA7">
        <w:rPr>
          <w:lang w:val="en-US"/>
        </w:rPr>
      </w:r>
      <w:r w:rsidR="00575CA7">
        <w:rPr>
          <w:lang w:val="en-US"/>
        </w:rPr>
        <w:fldChar w:fldCharType="separate"/>
      </w:r>
      <w:proofErr w:type="gramStart"/>
      <w:r w:rsidR="003648B8">
        <w:t>Figure</w:t>
      </w:r>
      <w:proofErr w:type="gramEnd"/>
      <w:r w:rsidR="003648B8">
        <w:t xml:space="preserve"> </w:t>
      </w:r>
      <w:r w:rsidR="003648B8">
        <w:rPr>
          <w:noProof/>
        </w:rPr>
        <w:t>66</w:t>
      </w:r>
      <w:r w:rsidR="00575CA7">
        <w:rPr>
          <w:lang w:val="en-US"/>
        </w:rPr>
        <w:fldChar w:fldCharType="end"/>
      </w:r>
      <w:r w:rsidR="006959DD">
        <w:rPr>
          <w:lang w:val="en-US"/>
        </w:rPr>
        <w:t>).</w:t>
      </w:r>
      <w:r w:rsidR="00011F1E">
        <w:rPr>
          <w:lang w:val="en-US"/>
        </w:rPr>
        <w:t xml:space="preserve">  </w:t>
      </w:r>
    </w:p>
    <w:p w:rsidR="004C1F06" w:rsidRPr="00740C2C" w:rsidRDefault="004C1F06" w:rsidP="00740C2C">
      <w:pPr>
        <w:pStyle w:val="BodyText"/>
        <w:rPr>
          <w:lang w:val="en-US"/>
        </w:rPr>
      </w:pPr>
      <w:r>
        <w:rPr>
          <w:lang w:val="en-US"/>
        </w:rPr>
        <w:t xml:space="preserve">There is no known proposed expansion of </w:t>
      </w:r>
      <w:r w:rsidR="00011F1E">
        <w:rPr>
          <w:lang w:val="en-US"/>
        </w:rPr>
        <w:t>provincial parks</w:t>
      </w:r>
      <w:r>
        <w:rPr>
          <w:lang w:val="en-US"/>
        </w:rPr>
        <w:t xml:space="preserve"> within the CLFN. As such, no additions to the </w:t>
      </w:r>
      <w:r w:rsidR="00011F1E">
        <w:rPr>
          <w:lang w:val="en-US"/>
        </w:rPr>
        <w:t>Provincial Park</w:t>
      </w:r>
      <w:r>
        <w:rPr>
          <w:lang w:val="en-US"/>
        </w:rPr>
        <w:t xml:space="preserve"> network </w:t>
      </w:r>
      <w:r w:rsidR="00E008EA">
        <w:rPr>
          <w:lang w:val="en-US"/>
        </w:rPr>
        <w:t>were</w:t>
      </w:r>
      <w:r>
        <w:rPr>
          <w:lang w:val="en-US"/>
        </w:rPr>
        <w:t xml:space="preserve"> simulated during this project. For the purposes of this </w:t>
      </w:r>
      <w:r w:rsidR="00011F1E">
        <w:rPr>
          <w:lang w:val="en-US"/>
        </w:rPr>
        <w:t>report</w:t>
      </w:r>
      <w:r>
        <w:rPr>
          <w:lang w:val="en-US"/>
        </w:rPr>
        <w:t xml:space="preserve">, </w:t>
      </w:r>
      <w:r w:rsidR="00011F1E">
        <w:rPr>
          <w:lang w:val="en-US"/>
        </w:rPr>
        <w:t xml:space="preserve">provincial parks and recreation were </w:t>
      </w:r>
      <w:r>
        <w:rPr>
          <w:lang w:val="en-US"/>
        </w:rPr>
        <w:t>considered to be largely incompatible with consumptive activitie</w:t>
      </w:r>
      <w:r w:rsidR="00011F1E">
        <w:rPr>
          <w:lang w:val="en-US"/>
        </w:rPr>
        <w:t>s (hunting, trapping, fishing</w:t>
      </w:r>
      <w:r w:rsidR="009A7EE0">
        <w:rPr>
          <w:lang w:val="en-US"/>
        </w:rPr>
        <w:t>, medicine and plant gathering</w:t>
      </w:r>
      <w:r>
        <w:rPr>
          <w:lang w:val="en-US"/>
        </w:rPr>
        <w:t xml:space="preserve">) of </w:t>
      </w:r>
      <w:r w:rsidR="00723781">
        <w:rPr>
          <w:lang w:val="en-US"/>
        </w:rPr>
        <w:t xml:space="preserve">the </w:t>
      </w:r>
      <w:r w:rsidR="00F764E9">
        <w:rPr>
          <w:lang w:val="en-US"/>
        </w:rPr>
        <w:t>CLFN due to regulatory restrictions and concerns over conflict with recreational users.</w:t>
      </w:r>
    </w:p>
    <w:p w:rsidR="00AA2C45" w:rsidRDefault="00AA2C45" w:rsidP="00AD45C3">
      <w:pPr>
        <w:pStyle w:val="BodyText"/>
        <w:keepNext/>
        <w:spacing w:after="0"/>
      </w:pPr>
    </w:p>
    <w:p w:rsidR="00AA2C45" w:rsidRDefault="00AA2C45" w:rsidP="00AD45C3">
      <w:pPr>
        <w:pStyle w:val="BodyText"/>
        <w:keepNext/>
        <w:spacing w:after="0"/>
      </w:pPr>
    </w:p>
    <w:p w:rsidR="00AA2C45" w:rsidRDefault="00AA2C45" w:rsidP="00AD45C3">
      <w:pPr>
        <w:pStyle w:val="BodyText"/>
        <w:keepNext/>
        <w:spacing w:after="0"/>
      </w:pPr>
    </w:p>
    <w:p w:rsidR="00AA2C45" w:rsidRDefault="00AA2C45" w:rsidP="00AD45C3">
      <w:pPr>
        <w:pStyle w:val="BodyText"/>
        <w:keepNext/>
        <w:spacing w:after="0"/>
      </w:pPr>
    </w:p>
    <w:p w:rsidR="00AA2C45" w:rsidRDefault="00AA2C45" w:rsidP="00AD45C3">
      <w:pPr>
        <w:pStyle w:val="BodyText"/>
        <w:keepNext/>
        <w:spacing w:after="0"/>
      </w:pPr>
    </w:p>
    <w:p w:rsidR="00AA2C45" w:rsidRDefault="00AA2C45" w:rsidP="00AD45C3">
      <w:pPr>
        <w:pStyle w:val="BodyText"/>
        <w:keepNext/>
        <w:spacing w:after="0"/>
      </w:pPr>
    </w:p>
    <w:p w:rsidR="00B9676E" w:rsidRDefault="00AA2C45" w:rsidP="00AD45C3">
      <w:pPr>
        <w:pStyle w:val="BodyText"/>
        <w:keepNext/>
        <w:spacing w:after="0"/>
      </w:pPr>
      <w:r>
        <w:rPr>
          <w:noProof/>
          <w:lang w:val="en-US"/>
        </w:rPr>
        <w:drawing>
          <wp:inline distT="0" distB="0" distL="0" distR="0">
            <wp:extent cx="4768438" cy="3600000"/>
            <wp:effectExtent l="19050" t="19050" r="13112" b="19500"/>
            <wp:docPr id="7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srcRect/>
                    <a:stretch>
                      <a:fillRect/>
                    </a:stretch>
                  </pic:blipFill>
                  <pic:spPr bwMode="auto">
                    <a:xfrm>
                      <a:off x="0" y="0"/>
                      <a:ext cx="4768438"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B9676E" w:rsidRDefault="00B9676E" w:rsidP="00B9676E">
      <w:pPr>
        <w:pStyle w:val="Caption"/>
        <w:rPr>
          <w:lang w:val="en-US"/>
        </w:rPr>
      </w:pPr>
      <w:bookmarkStart w:id="153" w:name="_Ref326246635"/>
      <w:bookmarkStart w:id="154" w:name="_Toc338703844"/>
      <w:proofErr w:type="gramStart"/>
      <w:r>
        <w:t xml:space="preserve">Figure </w:t>
      </w:r>
      <w:fldSimple w:instr=" SEQ Figure \* ARABIC ">
        <w:r w:rsidR="00A02D22">
          <w:rPr>
            <w:noProof/>
          </w:rPr>
          <w:t>64</w:t>
        </w:r>
      </w:fldSimple>
      <w:bookmarkEnd w:id="153"/>
      <w:r w:rsidR="00740C2C">
        <w:t>.</w:t>
      </w:r>
      <w:proofErr w:type="gramEnd"/>
      <w:r w:rsidR="00740C2C">
        <w:t xml:space="preserve"> </w:t>
      </w:r>
      <w:r w:rsidR="00E008EA">
        <w:t xml:space="preserve"> The </w:t>
      </w:r>
      <w:r w:rsidR="00640475">
        <w:t>provincial parks and recreation</w:t>
      </w:r>
      <w:r w:rsidR="00E008EA">
        <w:t xml:space="preserve"> areas network in CLFN </w:t>
      </w:r>
      <w:r w:rsidR="00202A19">
        <w:t xml:space="preserve">SA </w:t>
      </w:r>
      <w:r w:rsidR="00E008EA">
        <w:t xml:space="preserve">is </w:t>
      </w:r>
      <w:r w:rsidR="00F764E9">
        <w:t>intended</w:t>
      </w:r>
      <w:r w:rsidR="00E008EA">
        <w:t xml:space="preserve"> to </w:t>
      </w:r>
      <w:r w:rsidR="00F764E9">
        <w:t xml:space="preserve">contribute to </w:t>
      </w:r>
      <w:r w:rsidR="00E008EA">
        <w:t>ecological integrity in the region but this mandate is not necessarily compatible with maintaining traditional activities of CLFN</w:t>
      </w:r>
      <w:r w:rsidR="00202A19">
        <w:t xml:space="preserve"> peoples</w:t>
      </w:r>
      <w:r w:rsidR="00E008EA">
        <w:t>.</w:t>
      </w:r>
      <w:bookmarkEnd w:id="154"/>
    </w:p>
    <w:p w:rsidR="00B9676E" w:rsidRDefault="00B9676E" w:rsidP="00AD45C3">
      <w:pPr>
        <w:pStyle w:val="BodyText"/>
        <w:keepNext/>
        <w:spacing w:after="0"/>
      </w:pPr>
      <w:r>
        <w:rPr>
          <w:noProof/>
          <w:lang w:val="en-US"/>
        </w:rPr>
        <w:lastRenderedPageBreak/>
        <w:drawing>
          <wp:inline distT="0" distB="0" distL="0" distR="0">
            <wp:extent cx="4742894" cy="3600000"/>
            <wp:effectExtent l="19050" t="19050" r="19606" b="1950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77" cstate="print"/>
                    <a:srcRect/>
                    <a:stretch>
                      <a:fillRect/>
                    </a:stretch>
                  </pic:blipFill>
                  <pic:spPr bwMode="auto">
                    <a:xfrm>
                      <a:off x="0" y="0"/>
                      <a:ext cx="4742894"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B9676E" w:rsidRDefault="00B9676E" w:rsidP="00B9676E">
      <w:pPr>
        <w:pStyle w:val="Caption"/>
        <w:rPr>
          <w:lang w:val="en-US"/>
        </w:rPr>
      </w:pPr>
      <w:bookmarkStart w:id="155" w:name="_Ref326246648"/>
      <w:bookmarkStart w:id="156" w:name="_Toc338703845"/>
      <w:proofErr w:type="gramStart"/>
      <w:r>
        <w:t xml:space="preserve">Figure </w:t>
      </w:r>
      <w:fldSimple w:instr=" SEQ Figure \* ARABIC ">
        <w:r w:rsidR="00A02D22">
          <w:rPr>
            <w:noProof/>
          </w:rPr>
          <w:t>65</w:t>
        </w:r>
      </w:fldSimple>
      <w:bookmarkEnd w:id="155"/>
      <w:r w:rsidR="00740C2C">
        <w:t>.</w:t>
      </w:r>
      <w:proofErr w:type="gramEnd"/>
      <w:r w:rsidR="00740C2C">
        <w:t xml:space="preserve"> Historical changes in the area of protected areas (provincial, federal) in Alberta</w:t>
      </w:r>
      <w:r w:rsidR="004C53F9">
        <w:t xml:space="preserve"> relative to CLFN SA</w:t>
      </w:r>
      <w:r w:rsidR="00740C2C">
        <w:t>.</w:t>
      </w:r>
      <w:bookmarkEnd w:id="156"/>
    </w:p>
    <w:p w:rsidR="00B9676E" w:rsidRDefault="00B9676E" w:rsidP="00B9676E">
      <w:pPr>
        <w:pStyle w:val="BodyText"/>
        <w:rPr>
          <w:lang w:val="en-US"/>
        </w:rPr>
      </w:pPr>
    </w:p>
    <w:p w:rsidR="009D0827" w:rsidRDefault="009D0827" w:rsidP="00AD45C3">
      <w:pPr>
        <w:pStyle w:val="BodyText"/>
        <w:keepNext/>
        <w:spacing w:after="0"/>
      </w:pPr>
      <w:r>
        <w:rPr>
          <w:noProof/>
          <w:lang w:val="en-US"/>
        </w:rPr>
        <w:drawing>
          <wp:inline distT="0" distB="0" distL="0" distR="0">
            <wp:extent cx="4800000" cy="3600000"/>
            <wp:effectExtent l="19050" t="19050" r="19650" b="1950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srcRect/>
                    <a:stretch>
                      <a:fillRect/>
                    </a:stretch>
                  </pic:blipFill>
                  <pic:spPr bwMode="auto">
                    <a:xfrm>
                      <a:off x="0" y="0"/>
                      <a:ext cx="4800000"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9D0827" w:rsidRPr="00B9676E" w:rsidRDefault="009D0827" w:rsidP="009D0827">
      <w:pPr>
        <w:pStyle w:val="Caption"/>
        <w:rPr>
          <w:lang w:val="en-US"/>
        </w:rPr>
      </w:pPr>
      <w:bookmarkStart w:id="157" w:name="_Ref326246651"/>
      <w:bookmarkStart w:id="158" w:name="_Toc338703846"/>
      <w:proofErr w:type="gramStart"/>
      <w:r>
        <w:t xml:space="preserve">Figure </w:t>
      </w:r>
      <w:fldSimple w:instr=" SEQ Figure \* ARABIC ">
        <w:r w:rsidR="00A02D22">
          <w:rPr>
            <w:noProof/>
          </w:rPr>
          <w:t>66</w:t>
        </w:r>
      </w:fldSimple>
      <w:bookmarkEnd w:id="157"/>
      <w:r>
        <w:t>.</w:t>
      </w:r>
      <w:proofErr w:type="gramEnd"/>
      <w:r>
        <w:t xml:space="preserve">  </w:t>
      </w:r>
      <w:proofErr w:type="gramStart"/>
      <w:r>
        <w:t>Distribution of provincial parks of CLFN SA relative to landscape types.</w:t>
      </w:r>
      <w:bookmarkEnd w:id="158"/>
      <w:proofErr w:type="gramEnd"/>
    </w:p>
    <w:p w:rsidR="00871C3E" w:rsidRDefault="00871C3E" w:rsidP="00871C3E">
      <w:pPr>
        <w:pStyle w:val="Heading2"/>
      </w:pPr>
      <w:bookmarkStart w:id="159" w:name="_Toc338703693"/>
      <w:r>
        <w:lastRenderedPageBreak/>
        <w:t>Forestry</w:t>
      </w:r>
      <w:bookmarkEnd w:id="159"/>
    </w:p>
    <w:p w:rsidR="00E008EA" w:rsidRDefault="00E008EA" w:rsidP="00E008EA">
      <w:pPr>
        <w:pStyle w:val="BodyText"/>
        <w:rPr>
          <w:lang w:val="en-US"/>
        </w:rPr>
      </w:pPr>
      <w:r>
        <w:rPr>
          <w:lang w:val="en-US"/>
        </w:rPr>
        <w:t xml:space="preserve">Although forestry is the largest and most extensive </w:t>
      </w:r>
      <w:r w:rsidR="00C544DE">
        <w:rPr>
          <w:lang w:val="en-US"/>
        </w:rPr>
        <w:t>land-use</w:t>
      </w:r>
      <w:r>
        <w:rPr>
          <w:lang w:val="en-US"/>
        </w:rPr>
        <w:t xml:space="preserve"> within the boreal forests of Alberta</w:t>
      </w:r>
      <w:r w:rsidR="00B33428">
        <w:rPr>
          <w:lang w:val="en-US"/>
        </w:rPr>
        <w:t xml:space="preserve"> (</w:t>
      </w:r>
      <w:r w:rsidR="00575CA7">
        <w:rPr>
          <w:lang w:val="en-US"/>
        </w:rPr>
        <w:fldChar w:fldCharType="begin"/>
      </w:r>
      <w:r w:rsidR="006959DD">
        <w:rPr>
          <w:lang w:val="en-US"/>
        </w:rPr>
        <w:instrText xml:space="preserve"> REF _Ref326246803 \h </w:instrText>
      </w:r>
      <w:r w:rsidR="00575CA7">
        <w:rPr>
          <w:lang w:val="en-US"/>
        </w:rPr>
      </w:r>
      <w:r w:rsidR="00575CA7">
        <w:rPr>
          <w:lang w:val="en-US"/>
        </w:rPr>
        <w:fldChar w:fldCharType="separate"/>
      </w:r>
      <w:r w:rsidR="003648B8">
        <w:t xml:space="preserve">Figure </w:t>
      </w:r>
      <w:r w:rsidR="003648B8">
        <w:rPr>
          <w:noProof/>
        </w:rPr>
        <w:t>67</w:t>
      </w:r>
      <w:r w:rsidR="00575CA7">
        <w:rPr>
          <w:lang w:val="en-US"/>
        </w:rPr>
        <w:fldChar w:fldCharType="end"/>
      </w:r>
      <w:r w:rsidR="006959DD">
        <w:rPr>
          <w:lang w:val="en-US"/>
        </w:rPr>
        <w:t xml:space="preserve"> and </w:t>
      </w:r>
      <w:r w:rsidR="00575CA7">
        <w:rPr>
          <w:lang w:val="en-US"/>
        </w:rPr>
        <w:fldChar w:fldCharType="begin"/>
      </w:r>
      <w:r w:rsidR="00B33428">
        <w:rPr>
          <w:lang w:val="en-US"/>
        </w:rPr>
        <w:instrText xml:space="preserve"> REF _Ref325497742 \h </w:instrText>
      </w:r>
      <w:r w:rsidR="00575CA7">
        <w:rPr>
          <w:lang w:val="en-US"/>
        </w:rPr>
      </w:r>
      <w:r w:rsidR="00575CA7">
        <w:rPr>
          <w:lang w:val="en-US"/>
        </w:rPr>
        <w:fldChar w:fldCharType="separate"/>
      </w:r>
      <w:r w:rsidR="003648B8">
        <w:t xml:space="preserve">Figure </w:t>
      </w:r>
      <w:r w:rsidR="003648B8">
        <w:rPr>
          <w:noProof/>
        </w:rPr>
        <w:t>68</w:t>
      </w:r>
      <w:r w:rsidR="00575CA7">
        <w:rPr>
          <w:lang w:val="en-US"/>
        </w:rPr>
        <w:fldChar w:fldCharType="end"/>
      </w:r>
      <w:r w:rsidR="00B33428">
        <w:rPr>
          <w:lang w:val="en-US"/>
        </w:rPr>
        <w:t>)</w:t>
      </w:r>
      <w:r>
        <w:rPr>
          <w:lang w:val="en-US"/>
        </w:rPr>
        <w:t xml:space="preserve">, it is not a significant </w:t>
      </w:r>
      <w:r w:rsidR="00C544DE">
        <w:rPr>
          <w:lang w:val="en-US"/>
        </w:rPr>
        <w:t>land-use</w:t>
      </w:r>
      <w:r>
        <w:rPr>
          <w:lang w:val="en-US"/>
        </w:rPr>
        <w:t xml:space="preserve"> within CLFN</w:t>
      </w:r>
      <w:r w:rsidR="00202A19">
        <w:rPr>
          <w:lang w:val="en-US"/>
        </w:rPr>
        <w:t xml:space="preserve"> SA</w:t>
      </w:r>
      <w:r>
        <w:rPr>
          <w:lang w:val="en-US"/>
        </w:rPr>
        <w:t xml:space="preserve">. The southern extent of the Forest Management Agreement (FMA) of Alberta-Pacific Forest Industries does extend into the northern portion of the CLFN </w:t>
      </w:r>
      <w:r w:rsidR="00B14ED1">
        <w:rPr>
          <w:lang w:val="en-US"/>
        </w:rPr>
        <w:t>SA</w:t>
      </w:r>
      <w:r>
        <w:rPr>
          <w:lang w:val="en-US"/>
        </w:rPr>
        <w:t xml:space="preserve">, but the intended future harvest of wood is considered to be </w:t>
      </w:r>
      <w:r w:rsidR="005945FB">
        <w:rPr>
          <w:lang w:val="en-US"/>
        </w:rPr>
        <w:t>insignificant. There</w:t>
      </w:r>
      <w:r>
        <w:rPr>
          <w:lang w:val="en-US"/>
        </w:rPr>
        <w:t xml:space="preserve"> is, however, a minor level of wood harvest within the study area</w:t>
      </w:r>
      <w:r w:rsidR="00491BFE">
        <w:rPr>
          <w:lang w:val="en-US"/>
        </w:rPr>
        <w:t>,</w:t>
      </w:r>
      <w:r>
        <w:rPr>
          <w:lang w:val="en-US"/>
        </w:rPr>
        <w:t xml:space="preserve"> and that volume is accounted for by small scale companies</w:t>
      </w:r>
      <w:r w:rsidR="00B33428">
        <w:rPr>
          <w:lang w:val="en-US"/>
        </w:rPr>
        <w:t xml:space="preserve"> within the CLFN itself.</w:t>
      </w:r>
    </w:p>
    <w:p w:rsidR="009437EB" w:rsidRDefault="009437EB" w:rsidP="00E008EA">
      <w:pPr>
        <w:pStyle w:val="BodyText"/>
        <w:rPr>
          <w:lang w:val="en-US"/>
        </w:rPr>
      </w:pPr>
      <w:r>
        <w:rPr>
          <w:lang w:val="en-US"/>
        </w:rPr>
        <w:t>Significant logging does occur immediately to the east of CLFN SA and within the Traditional Territories of CLFN</w:t>
      </w:r>
      <w:r w:rsidR="005845C4">
        <w:rPr>
          <w:lang w:val="en-US"/>
        </w:rPr>
        <w:t xml:space="preserve"> in Saskatchewan</w:t>
      </w:r>
      <w:r>
        <w:rPr>
          <w:lang w:val="en-US"/>
        </w:rPr>
        <w:t xml:space="preserve">. An example of the regional cutblock network is illustrated using Google imagery in </w:t>
      </w:r>
      <w:r w:rsidR="00575CA7">
        <w:rPr>
          <w:lang w:val="en-US"/>
        </w:rPr>
        <w:fldChar w:fldCharType="begin"/>
      </w:r>
      <w:r>
        <w:rPr>
          <w:lang w:val="en-US"/>
        </w:rPr>
        <w:instrText xml:space="preserve"> REF _Ref326096089 \h </w:instrText>
      </w:r>
      <w:r w:rsidR="00575CA7">
        <w:rPr>
          <w:lang w:val="en-US"/>
        </w:rPr>
      </w:r>
      <w:r w:rsidR="00575CA7">
        <w:rPr>
          <w:lang w:val="en-US"/>
        </w:rPr>
        <w:fldChar w:fldCharType="separate"/>
      </w:r>
      <w:r w:rsidR="003648B8">
        <w:t xml:space="preserve">Figure </w:t>
      </w:r>
      <w:r w:rsidR="003648B8">
        <w:rPr>
          <w:noProof/>
        </w:rPr>
        <w:t>69</w:t>
      </w:r>
      <w:r w:rsidR="00575CA7">
        <w:rPr>
          <w:lang w:val="en-US"/>
        </w:rPr>
        <w:fldChar w:fldCharType="end"/>
      </w:r>
      <w:r w:rsidR="006959DD">
        <w:rPr>
          <w:lang w:val="en-US"/>
        </w:rPr>
        <w:t>.</w:t>
      </w:r>
    </w:p>
    <w:p w:rsidR="009437EB" w:rsidRDefault="009437EB" w:rsidP="00E008EA">
      <w:pPr>
        <w:pStyle w:val="BodyText"/>
        <w:rPr>
          <w:lang w:val="en-US"/>
        </w:rPr>
      </w:pPr>
    </w:p>
    <w:p w:rsidR="009437EB" w:rsidRDefault="009437EB" w:rsidP="00E008EA">
      <w:pPr>
        <w:pStyle w:val="BodyText"/>
        <w:rPr>
          <w:lang w:val="en-US"/>
        </w:rPr>
      </w:pPr>
    </w:p>
    <w:p w:rsidR="009437EB" w:rsidRDefault="009437EB" w:rsidP="00E008EA">
      <w:pPr>
        <w:pStyle w:val="BodyText"/>
        <w:rPr>
          <w:lang w:val="en-US"/>
        </w:rPr>
      </w:pPr>
    </w:p>
    <w:p w:rsidR="009437EB" w:rsidRDefault="009437EB" w:rsidP="00E008EA">
      <w:pPr>
        <w:pStyle w:val="BodyText"/>
        <w:rPr>
          <w:lang w:val="en-US"/>
        </w:rPr>
      </w:pPr>
    </w:p>
    <w:p w:rsidR="009437EB" w:rsidRDefault="009437EB" w:rsidP="00E008EA">
      <w:pPr>
        <w:pStyle w:val="BodyText"/>
        <w:rPr>
          <w:lang w:val="en-US"/>
        </w:rPr>
      </w:pPr>
    </w:p>
    <w:p w:rsidR="009437EB" w:rsidRDefault="009437EB" w:rsidP="00E008EA">
      <w:pPr>
        <w:pStyle w:val="BodyText"/>
        <w:rPr>
          <w:lang w:val="en-US"/>
        </w:rPr>
      </w:pPr>
    </w:p>
    <w:p w:rsidR="00B33428" w:rsidRDefault="00B33428" w:rsidP="00AD45C3">
      <w:pPr>
        <w:pStyle w:val="BodyText"/>
        <w:keepNext/>
        <w:spacing w:after="0"/>
      </w:pPr>
      <w:r>
        <w:rPr>
          <w:noProof/>
          <w:lang w:val="en-US"/>
        </w:rPr>
        <w:drawing>
          <wp:inline distT="0" distB="0" distL="0" distR="0">
            <wp:extent cx="4736608" cy="3600000"/>
            <wp:effectExtent l="19050" t="19050" r="25892" b="19500"/>
            <wp:docPr id="739"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79" cstate="print"/>
                    <a:srcRect/>
                    <a:stretch>
                      <a:fillRect/>
                    </a:stretch>
                  </pic:blipFill>
                  <pic:spPr bwMode="auto">
                    <a:xfrm>
                      <a:off x="0" y="0"/>
                      <a:ext cx="4736608"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B33428" w:rsidRDefault="00B33428" w:rsidP="00B33428">
      <w:pPr>
        <w:pStyle w:val="Caption"/>
        <w:rPr>
          <w:lang w:val="en-US"/>
        </w:rPr>
      </w:pPr>
      <w:bookmarkStart w:id="160" w:name="_Ref326246803"/>
      <w:bookmarkStart w:id="161" w:name="_Toc338703847"/>
      <w:proofErr w:type="gramStart"/>
      <w:r>
        <w:t xml:space="preserve">Figure </w:t>
      </w:r>
      <w:fldSimple w:instr=" SEQ Figure \* ARABIC ">
        <w:r w:rsidR="00A02D22">
          <w:rPr>
            <w:noProof/>
          </w:rPr>
          <w:t>67</w:t>
        </w:r>
      </w:fldSimple>
      <w:bookmarkEnd w:id="160"/>
      <w:r>
        <w:t>.</w:t>
      </w:r>
      <w:proofErr w:type="gramEnd"/>
      <w:r>
        <w:t xml:space="preserve"> The</w:t>
      </w:r>
      <w:r w:rsidR="00064876">
        <w:t xml:space="preserve"> forest sector is the largest</w:t>
      </w:r>
      <w:r>
        <w:t xml:space="preserve"> </w:t>
      </w:r>
      <w:r w:rsidR="00C544DE">
        <w:t>land-use</w:t>
      </w:r>
      <w:r w:rsidR="00064876">
        <w:t xml:space="preserve"> practice</w:t>
      </w:r>
      <w:r>
        <w:t xml:space="preserve"> in the boreal forest of Alberta.</w:t>
      </w:r>
      <w:bookmarkEnd w:id="161"/>
    </w:p>
    <w:p w:rsidR="00B33428" w:rsidRDefault="00B33428" w:rsidP="00AD45C3">
      <w:pPr>
        <w:pStyle w:val="BodyText"/>
        <w:keepNext/>
        <w:spacing w:after="0"/>
      </w:pPr>
      <w:r>
        <w:rPr>
          <w:noProof/>
          <w:lang w:val="en-US"/>
        </w:rPr>
        <w:lastRenderedPageBreak/>
        <w:drawing>
          <wp:inline distT="0" distB="0" distL="0" distR="0">
            <wp:extent cx="4742041" cy="3600000"/>
            <wp:effectExtent l="19050" t="19050" r="20459" b="19500"/>
            <wp:docPr id="740"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80" cstate="print"/>
                    <a:srcRect/>
                    <a:stretch>
                      <a:fillRect/>
                    </a:stretch>
                  </pic:blipFill>
                  <pic:spPr bwMode="auto">
                    <a:xfrm>
                      <a:off x="0" y="0"/>
                      <a:ext cx="4742041"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B33428" w:rsidRDefault="00B33428" w:rsidP="00B33428">
      <w:pPr>
        <w:pStyle w:val="Caption"/>
      </w:pPr>
      <w:bookmarkStart w:id="162" w:name="_Ref325497742"/>
      <w:bookmarkStart w:id="163" w:name="_Toc338703848"/>
      <w:proofErr w:type="gramStart"/>
      <w:r>
        <w:t xml:space="preserve">Figure </w:t>
      </w:r>
      <w:fldSimple w:instr=" SEQ Figure \* ARABIC ">
        <w:r w:rsidR="00A02D22">
          <w:rPr>
            <w:noProof/>
          </w:rPr>
          <w:t>68</w:t>
        </w:r>
      </w:fldSimple>
      <w:bookmarkEnd w:id="162"/>
      <w:r>
        <w:t>.</w:t>
      </w:r>
      <w:proofErr w:type="gramEnd"/>
      <w:r>
        <w:t xml:space="preserve"> History and location of Forest Management Agree</w:t>
      </w:r>
      <w:r w:rsidR="00064876">
        <w:t xml:space="preserve">ment Areas </w:t>
      </w:r>
      <w:r>
        <w:t>(FMA) within Alberta</w:t>
      </w:r>
      <w:r w:rsidR="004C53F9">
        <w:t xml:space="preserve"> relative to CLFN SA</w:t>
      </w:r>
      <w:r>
        <w:t>.</w:t>
      </w:r>
      <w:bookmarkEnd w:id="163"/>
    </w:p>
    <w:p w:rsidR="009437EB" w:rsidRDefault="009437EB" w:rsidP="009437EB">
      <w:pPr>
        <w:keepNext/>
      </w:pPr>
      <w:r>
        <w:rPr>
          <w:noProof/>
          <w:lang w:val="en-US"/>
        </w:rPr>
        <w:drawing>
          <wp:inline distT="0" distB="0" distL="0" distR="0">
            <wp:extent cx="4766897" cy="3600000"/>
            <wp:effectExtent l="19050" t="19050" r="14653" b="19500"/>
            <wp:docPr id="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srcRect/>
                    <a:stretch>
                      <a:fillRect/>
                    </a:stretch>
                  </pic:blipFill>
                  <pic:spPr bwMode="auto">
                    <a:xfrm>
                      <a:off x="0" y="0"/>
                      <a:ext cx="4766897"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9437EB" w:rsidRPr="009437EB" w:rsidRDefault="009437EB" w:rsidP="009437EB">
      <w:pPr>
        <w:pStyle w:val="Caption"/>
      </w:pPr>
      <w:bookmarkStart w:id="164" w:name="_Ref326096089"/>
      <w:bookmarkStart w:id="165" w:name="_Toc338703849"/>
      <w:proofErr w:type="gramStart"/>
      <w:r>
        <w:t xml:space="preserve">Figure </w:t>
      </w:r>
      <w:fldSimple w:instr=" SEQ Figure \* ARABIC ">
        <w:r w:rsidR="00A02D22">
          <w:rPr>
            <w:noProof/>
          </w:rPr>
          <w:t>69</w:t>
        </w:r>
      </w:fldSimple>
      <w:bookmarkEnd w:id="164"/>
      <w:r>
        <w:t xml:space="preserve"> Google imagery illustrating cutblock network in the Traditional Territory of CLFN immediately east of the Martineau Reserve in Saskatchewan.</w:t>
      </w:r>
      <w:bookmarkEnd w:id="165"/>
      <w:proofErr w:type="gramEnd"/>
    </w:p>
    <w:p w:rsidR="00871C3E" w:rsidRDefault="00871C3E" w:rsidP="00871C3E">
      <w:pPr>
        <w:pStyle w:val="Heading2"/>
      </w:pPr>
      <w:bookmarkStart w:id="166" w:name="_Toc338703694"/>
      <w:r>
        <w:lastRenderedPageBreak/>
        <w:t>Oil and Gas</w:t>
      </w:r>
      <w:bookmarkEnd w:id="166"/>
    </w:p>
    <w:p w:rsidR="007B4F74" w:rsidRDefault="008650FE" w:rsidP="00B33428">
      <w:pPr>
        <w:pStyle w:val="BodyText"/>
        <w:rPr>
          <w:lang w:val="en-US"/>
        </w:rPr>
      </w:pPr>
      <w:r>
        <w:rPr>
          <w:lang w:val="en-US"/>
        </w:rPr>
        <w:t>The hydrocarbon reserves beneath the</w:t>
      </w:r>
      <w:r w:rsidR="00DD59C1">
        <w:rPr>
          <w:lang w:val="en-US"/>
        </w:rPr>
        <w:t xml:space="preserve"> </w:t>
      </w:r>
      <w:r>
        <w:rPr>
          <w:lang w:val="en-US"/>
        </w:rPr>
        <w:t>surface of CLFN are immense</w:t>
      </w:r>
      <w:r w:rsidR="001B64B4">
        <w:rPr>
          <w:lang w:val="en-US"/>
        </w:rPr>
        <w:t xml:space="preserve"> (</w:t>
      </w:r>
      <w:r w:rsidR="00575CA7">
        <w:rPr>
          <w:lang w:val="en-US"/>
        </w:rPr>
        <w:fldChar w:fldCharType="begin"/>
      </w:r>
      <w:r w:rsidR="006959DD">
        <w:rPr>
          <w:lang w:val="en-US"/>
        </w:rPr>
        <w:instrText xml:space="preserve"> REF _Ref325551413 \h </w:instrText>
      </w:r>
      <w:r w:rsidR="00575CA7">
        <w:rPr>
          <w:lang w:val="en-US"/>
        </w:rPr>
      </w:r>
      <w:r w:rsidR="00575CA7">
        <w:rPr>
          <w:lang w:val="en-US"/>
        </w:rPr>
        <w:fldChar w:fldCharType="separate"/>
      </w:r>
      <w:r w:rsidR="003648B8">
        <w:t xml:space="preserve">Figure </w:t>
      </w:r>
      <w:r w:rsidR="003648B8">
        <w:rPr>
          <w:noProof/>
        </w:rPr>
        <w:t>70</w:t>
      </w:r>
      <w:r w:rsidR="00575CA7">
        <w:rPr>
          <w:lang w:val="en-US"/>
        </w:rPr>
        <w:fldChar w:fldCharType="end"/>
      </w:r>
      <w:r w:rsidR="006959DD">
        <w:rPr>
          <w:lang w:val="en-US"/>
        </w:rPr>
        <w:t xml:space="preserve"> and </w:t>
      </w:r>
      <w:r w:rsidR="00575CA7">
        <w:rPr>
          <w:lang w:val="en-US"/>
        </w:rPr>
        <w:fldChar w:fldCharType="begin"/>
      </w:r>
      <w:r w:rsidR="005B03FA">
        <w:rPr>
          <w:lang w:val="en-US"/>
        </w:rPr>
        <w:instrText xml:space="preserve"> REF _Ref325556797 \h </w:instrText>
      </w:r>
      <w:r w:rsidR="00575CA7">
        <w:rPr>
          <w:lang w:val="en-US"/>
        </w:rPr>
      </w:r>
      <w:r w:rsidR="00575CA7">
        <w:rPr>
          <w:lang w:val="en-US"/>
        </w:rPr>
        <w:fldChar w:fldCharType="separate"/>
      </w:r>
      <w:r w:rsidR="003648B8">
        <w:t xml:space="preserve">Figure </w:t>
      </w:r>
      <w:r w:rsidR="003648B8">
        <w:rPr>
          <w:noProof/>
        </w:rPr>
        <w:t>71</w:t>
      </w:r>
      <w:r w:rsidR="00575CA7">
        <w:rPr>
          <w:lang w:val="en-US"/>
        </w:rPr>
        <w:fldChar w:fldCharType="end"/>
      </w:r>
      <w:r w:rsidR="001B64B4">
        <w:rPr>
          <w:lang w:val="en-US"/>
        </w:rPr>
        <w:t xml:space="preserve">), </w:t>
      </w:r>
      <w:r w:rsidR="00555E93">
        <w:rPr>
          <w:lang w:val="en-US"/>
        </w:rPr>
        <w:t>span the Ft. McMurray and Cold Lake oilsand regions (</w:t>
      </w:r>
      <w:r w:rsidR="00575CA7">
        <w:rPr>
          <w:lang w:val="en-US"/>
        </w:rPr>
        <w:fldChar w:fldCharType="begin"/>
      </w:r>
      <w:r w:rsidR="00555E93">
        <w:rPr>
          <w:lang w:val="en-US"/>
        </w:rPr>
        <w:instrText xml:space="preserve"> REF _Ref325549573 \h </w:instrText>
      </w:r>
      <w:r w:rsidR="00575CA7">
        <w:rPr>
          <w:lang w:val="en-US"/>
        </w:rPr>
      </w:r>
      <w:r w:rsidR="00575CA7">
        <w:rPr>
          <w:lang w:val="en-US"/>
        </w:rPr>
        <w:fldChar w:fldCharType="separate"/>
      </w:r>
      <w:r w:rsidR="003648B8">
        <w:t xml:space="preserve">Figure </w:t>
      </w:r>
      <w:r w:rsidR="003648B8">
        <w:rPr>
          <w:noProof/>
        </w:rPr>
        <w:t>72</w:t>
      </w:r>
      <w:r w:rsidR="00575CA7">
        <w:rPr>
          <w:lang w:val="en-US"/>
        </w:rPr>
        <w:fldChar w:fldCharType="end"/>
      </w:r>
      <w:r w:rsidR="00555E93">
        <w:rPr>
          <w:lang w:val="en-US"/>
        </w:rPr>
        <w:t>)</w:t>
      </w:r>
      <w:r w:rsidR="001B64B4">
        <w:rPr>
          <w:lang w:val="en-US"/>
        </w:rPr>
        <w:t>, and have played a key role in the history of oil production in Alberta (</w:t>
      </w:r>
      <w:r w:rsidR="00575CA7">
        <w:rPr>
          <w:lang w:val="en-US"/>
        </w:rPr>
        <w:fldChar w:fldCharType="begin"/>
      </w:r>
      <w:r w:rsidR="005B03FA">
        <w:rPr>
          <w:lang w:val="en-US"/>
        </w:rPr>
        <w:instrText xml:space="preserve"> REF _Ref325557092 \h </w:instrText>
      </w:r>
      <w:r w:rsidR="00575CA7">
        <w:rPr>
          <w:lang w:val="en-US"/>
        </w:rPr>
      </w:r>
      <w:r w:rsidR="00575CA7">
        <w:rPr>
          <w:lang w:val="en-US"/>
        </w:rPr>
        <w:fldChar w:fldCharType="separate"/>
      </w:r>
      <w:r w:rsidR="003648B8">
        <w:t xml:space="preserve">Figure </w:t>
      </w:r>
      <w:r w:rsidR="003648B8">
        <w:rPr>
          <w:noProof/>
        </w:rPr>
        <w:t>73</w:t>
      </w:r>
      <w:r w:rsidR="00575CA7">
        <w:rPr>
          <w:lang w:val="en-US"/>
        </w:rPr>
        <w:fldChar w:fldCharType="end"/>
      </w:r>
      <w:r w:rsidR="001B64B4">
        <w:rPr>
          <w:lang w:val="en-US"/>
        </w:rPr>
        <w:t>)</w:t>
      </w:r>
      <w:r>
        <w:rPr>
          <w:lang w:val="en-US"/>
        </w:rPr>
        <w:t xml:space="preserve">. Estimates by the ERCB (2011) </w:t>
      </w:r>
      <w:r w:rsidR="007920FE">
        <w:rPr>
          <w:lang w:val="en-US"/>
        </w:rPr>
        <w:t>suggest</w:t>
      </w:r>
      <w:r>
        <w:rPr>
          <w:lang w:val="en-US"/>
        </w:rPr>
        <w:t xml:space="preserve"> ~28.7 </w:t>
      </w:r>
      <w:r w:rsidR="00DD59C1">
        <w:rPr>
          <w:lang w:val="en-US"/>
        </w:rPr>
        <w:t>B</w:t>
      </w:r>
      <w:r>
        <w:rPr>
          <w:lang w:val="en-US"/>
        </w:rPr>
        <w:t xml:space="preserve"> m</w:t>
      </w:r>
      <w:r w:rsidRPr="00F43CF2">
        <w:rPr>
          <w:vertAlign w:val="superscript"/>
          <w:lang w:val="en-US"/>
        </w:rPr>
        <w:t>3</w:t>
      </w:r>
      <w:r>
        <w:rPr>
          <w:lang w:val="en-US"/>
        </w:rPr>
        <w:t xml:space="preserve"> of heavy oil and bitumen are </w:t>
      </w:r>
      <w:r w:rsidR="007920FE">
        <w:rPr>
          <w:lang w:val="en-US"/>
        </w:rPr>
        <w:t>“</w:t>
      </w:r>
      <w:r>
        <w:rPr>
          <w:lang w:val="en-US"/>
        </w:rPr>
        <w:t>in place</w:t>
      </w:r>
      <w:r w:rsidR="007920FE">
        <w:rPr>
          <w:lang w:val="en-US"/>
        </w:rPr>
        <w:t>”</w:t>
      </w:r>
      <w:r w:rsidR="008A7E95">
        <w:rPr>
          <w:lang w:val="en-US"/>
        </w:rPr>
        <w:t xml:space="preserve"> in the Cold Lake region</w:t>
      </w:r>
      <w:r>
        <w:rPr>
          <w:lang w:val="en-US"/>
        </w:rPr>
        <w:t xml:space="preserve"> </w:t>
      </w:r>
      <w:r w:rsidR="00555E93">
        <w:rPr>
          <w:lang w:val="en-US"/>
        </w:rPr>
        <w:t>(</w:t>
      </w:r>
      <w:r w:rsidR="00575CA7">
        <w:rPr>
          <w:lang w:val="en-US"/>
        </w:rPr>
        <w:fldChar w:fldCharType="begin"/>
      </w:r>
      <w:r w:rsidR="00F21FA6">
        <w:rPr>
          <w:lang w:val="en-US"/>
        </w:rPr>
        <w:instrText xml:space="preserve"> REF _Ref325556797 \h </w:instrText>
      </w:r>
      <w:r w:rsidR="00575CA7">
        <w:rPr>
          <w:lang w:val="en-US"/>
        </w:rPr>
      </w:r>
      <w:r w:rsidR="00575CA7">
        <w:rPr>
          <w:lang w:val="en-US"/>
        </w:rPr>
        <w:fldChar w:fldCharType="separate"/>
      </w:r>
      <w:r w:rsidR="003648B8">
        <w:t xml:space="preserve">Figure </w:t>
      </w:r>
      <w:r w:rsidR="003648B8">
        <w:rPr>
          <w:noProof/>
        </w:rPr>
        <w:t>71</w:t>
      </w:r>
      <w:r w:rsidR="00575CA7">
        <w:rPr>
          <w:lang w:val="en-US"/>
        </w:rPr>
        <w:fldChar w:fldCharType="end"/>
      </w:r>
      <w:r w:rsidR="00555E93">
        <w:rPr>
          <w:lang w:val="en-US"/>
        </w:rPr>
        <w:t>)</w:t>
      </w:r>
      <w:r w:rsidR="004649CF">
        <w:rPr>
          <w:lang w:val="en-US"/>
        </w:rPr>
        <w:t xml:space="preserve"> and of these reserves ~6.3</w:t>
      </w:r>
      <w:r w:rsidR="001B64B4">
        <w:rPr>
          <w:lang w:val="en-US"/>
        </w:rPr>
        <w:t>B m</w:t>
      </w:r>
      <w:r w:rsidR="001B64B4" w:rsidRPr="00B70B31">
        <w:rPr>
          <w:vertAlign w:val="superscript"/>
          <w:lang w:val="en-US"/>
        </w:rPr>
        <w:t>3</w:t>
      </w:r>
      <w:r w:rsidR="001B64B4">
        <w:rPr>
          <w:lang w:val="en-US"/>
        </w:rPr>
        <w:t xml:space="preserve"> are recove</w:t>
      </w:r>
      <w:r w:rsidR="00D04594">
        <w:rPr>
          <w:lang w:val="en-US"/>
        </w:rPr>
        <w:t>rable using current technology</w:t>
      </w:r>
      <w:r w:rsidR="009D60FA">
        <w:rPr>
          <w:lang w:val="en-US"/>
        </w:rPr>
        <w:t xml:space="preserve"> (Lemmens, Birchwood Resources, 2012)</w:t>
      </w:r>
      <w:r w:rsidR="00D04594">
        <w:rPr>
          <w:lang w:val="en-US"/>
        </w:rPr>
        <w:t>. Only 0.297 B m</w:t>
      </w:r>
      <w:r w:rsidR="00D04594" w:rsidRPr="00D04594">
        <w:rPr>
          <w:vertAlign w:val="superscript"/>
          <w:lang w:val="en-US"/>
        </w:rPr>
        <w:t>3</w:t>
      </w:r>
      <w:r w:rsidR="00D04594">
        <w:rPr>
          <w:lang w:val="en-US"/>
        </w:rPr>
        <w:t xml:space="preserve"> have been recovered to date, emphasizing how much more development </w:t>
      </w:r>
      <w:r w:rsidR="00436E3E">
        <w:rPr>
          <w:lang w:val="en-US"/>
        </w:rPr>
        <w:t>is</w:t>
      </w:r>
      <w:r w:rsidR="00D04594">
        <w:rPr>
          <w:lang w:val="en-US"/>
        </w:rPr>
        <w:t xml:space="preserve"> yet to occur.</w:t>
      </w:r>
      <w:r w:rsidR="005B03FA">
        <w:rPr>
          <w:lang w:val="en-US"/>
        </w:rPr>
        <w:t xml:space="preserve"> The major deposits comprising the heavy oils and bitumen reserves of the region are </w:t>
      </w:r>
      <w:r w:rsidR="008B39BD">
        <w:rPr>
          <w:lang w:val="en-US"/>
        </w:rPr>
        <w:t xml:space="preserve">located within </w:t>
      </w:r>
      <w:r w:rsidR="005B03FA">
        <w:rPr>
          <w:lang w:val="en-US"/>
        </w:rPr>
        <w:t>the Upper and Lower Grand Rapids, the Cold Lake Coldwater, and the Wabiskaw/Ft.</w:t>
      </w:r>
      <w:r w:rsidR="00003C84">
        <w:rPr>
          <w:lang w:val="en-US"/>
        </w:rPr>
        <w:t xml:space="preserve"> </w:t>
      </w:r>
      <w:r w:rsidR="005B03FA">
        <w:rPr>
          <w:lang w:val="en-US"/>
        </w:rPr>
        <w:t>McMurray (</w:t>
      </w:r>
      <w:r w:rsidR="00575CA7">
        <w:rPr>
          <w:lang w:val="en-US"/>
        </w:rPr>
        <w:fldChar w:fldCharType="begin"/>
      </w:r>
      <w:r w:rsidR="005B03FA">
        <w:rPr>
          <w:lang w:val="en-US"/>
        </w:rPr>
        <w:instrText xml:space="preserve"> REF _Ref325557468 \h </w:instrText>
      </w:r>
      <w:r w:rsidR="00575CA7">
        <w:rPr>
          <w:lang w:val="en-US"/>
        </w:rPr>
      </w:r>
      <w:r w:rsidR="00575CA7">
        <w:rPr>
          <w:lang w:val="en-US"/>
        </w:rPr>
        <w:fldChar w:fldCharType="separate"/>
      </w:r>
      <w:r w:rsidR="003648B8">
        <w:t xml:space="preserve">Figure </w:t>
      </w:r>
      <w:r w:rsidR="003648B8">
        <w:rPr>
          <w:noProof/>
        </w:rPr>
        <w:t>74</w:t>
      </w:r>
      <w:r w:rsidR="00575CA7">
        <w:rPr>
          <w:lang w:val="en-US"/>
        </w:rPr>
        <w:fldChar w:fldCharType="end"/>
      </w:r>
      <w:r w:rsidR="005B03FA">
        <w:rPr>
          <w:lang w:val="en-US"/>
        </w:rPr>
        <w:t>).</w:t>
      </w:r>
    </w:p>
    <w:p w:rsidR="00640475" w:rsidRDefault="00B70B31" w:rsidP="00B70B31">
      <w:pPr>
        <w:pStyle w:val="BodyText"/>
        <w:rPr>
          <w:lang w:val="en-US"/>
        </w:rPr>
      </w:pPr>
      <w:r>
        <w:rPr>
          <w:lang w:val="en-US"/>
        </w:rPr>
        <w:t>In terms of jobs, royalties, revenues, and lan</w:t>
      </w:r>
      <w:r w:rsidR="00D04594">
        <w:rPr>
          <w:lang w:val="en-US"/>
        </w:rPr>
        <w:t xml:space="preserve">dscape transformation, </w:t>
      </w:r>
      <w:r>
        <w:rPr>
          <w:lang w:val="en-US"/>
        </w:rPr>
        <w:t xml:space="preserve">no </w:t>
      </w:r>
      <w:r w:rsidR="00C544DE">
        <w:rPr>
          <w:lang w:val="en-US"/>
        </w:rPr>
        <w:t>land-use</w:t>
      </w:r>
      <w:r>
        <w:rPr>
          <w:lang w:val="en-US"/>
        </w:rPr>
        <w:t xml:space="preserve"> during the past several decades in the CLFN region </w:t>
      </w:r>
      <w:r w:rsidR="00D04594">
        <w:rPr>
          <w:lang w:val="en-US"/>
        </w:rPr>
        <w:t>has delivered</w:t>
      </w:r>
      <w:r>
        <w:rPr>
          <w:lang w:val="en-US"/>
        </w:rPr>
        <w:t xml:space="preserve"> higher numbe</w:t>
      </w:r>
      <w:r w:rsidR="00D04594">
        <w:rPr>
          <w:lang w:val="en-US"/>
        </w:rPr>
        <w:t>rs</w:t>
      </w:r>
      <w:r w:rsidR="00436E3E">
        <w:rPr>
          <w:lang w:val="en-US"/>
        </w:rPr>
        <w:t xml:space="preserve"> and more change</w:t>
      </w:r>
      <w:r w:rsidR="00D04594">
        <w:rPr>
          <w:lang w:val="en-US"/>
        </w:rPr>
        <w:t xml:space="preserve"> than the hydrocarbon sector</w:t>
      </w:r>
      <w:r>
        <w:rPr>
          <w:lang w:val="en-US"/>
        </w:rPr>
        <w:t>.</w:t>
      </w:r>
    </w:p>
    <w:p w:rsidR="00640475" w:rsidRDefault="00640475" w:rsidP="00640475">
      <w:pPr>
        <w:pStyle w:val="Arialbold16ptcentredtitlepagetext"/>
        <w:jc w:val="left"/>
        <w:rPr>
          <w:rFonts w:ascii="Times New Roman" w:hAnsi="Times New Roman"/>
          <w:b w:val="0"/>
          <w:sz w:val="24"/>
        </w:rPr>
      </w:pPr>
      <w:r w:rsidRPr="00640475">
        <w:rPr>
          <w:rFonts w:ascii="Times New Roman" w:hAnsi="Times New Roman"/>
          <w:b w:val="0"/>
          <w:sz w:val="24"/>
        </w:rPr>
        <w:t xml:space="preserve">The CLFN SA is placed into context of the historical provincial trajectory of </w:t>
      </w:r>
      <w:r w:rsidR="006959DD" w:rsidRPr="00640475">
        <w:rPr>
          <w:rFonts w:ascii="Times New Roman" w:hAnsi="Times New Roman"/>
          <w:b w:val="0"/>
          <w:sz w:val="24"/>
        </w:rPr>
        <w:t xml:space="preserve">natural gas, </w:t>
      </w:r>
      <w:r w:rsidRPr="00640475">
        <w:rPr>
          <w:rFonts w:ascii="Times New Roman" w:hAnsi="Times New Roman"/>
          <w:b w:val="0"/>
          <w:sz w:val="24"/>
        </w:rPr>
        <w:t>convention</w:t>
      </w:r>
      <w:r w:rsidR="0068131E">
        <w:rPr>
          <w:rFonts w:ascii="Times New Roman" w:hAnsi="Times New Roman"/>
          <w:b w:val="0"/>
          <w:sz w:val="24"/>
        </w:rPr>
        <w:t>al</w:t>
      </w:r>
      <w:r w:rsidRPr="00640475">
        <w:rPr>
          <w:rFonts w:ascii="Times New Roman" w:hAnsi="Times New Roman"/>
          <w:b w:val="0"/>
          <w:sz w:val="24"/>
        </w:rPr>
        <w:t xml:space="preserve"> oil, and unconventional oil development in </w:t>
      </w:r>
      <w:fldSimple w:instr=" REF _Ref325551213 \h  \* MERGEFORMAT ">
        <w:r w:rsidR="003648B8" w:rsidRPr="003648B8">
          <w:rPr>
            <w:rFonts w:ascii="Times New Roman" w:hAnsi="Times New Roman"/>
            <w:b w:val="0"/>
            <w:sz w:val="24"/>
          </w:rPr>
          <w:t>Figure 75</w:t>
        </w:r>
      </w:fldSimple>
      <w:r w:rsidRPr="00640475">
        <w:rPr>
          <w:rFonts w:ascii="Times New Roman" w:hAnsi="Times New Roman"/>
          <w:b w:val="0"/>
          <w:sz w:val="24"/>
        </w:rPr>
        <w:t xml:space="preserve">, </w:t>
      </w:r>
      <w:fldSimple w:instr=" REF _Ref325551215 \h  \* MERGEFORMAT ">
        <w:r w:rsidR="003648B8" w:rsidRPr="003648B8">
          <w:rPr>
            <w:rFonts w:ascii="Times New Roman" w:hAnsi="Times New Roman"/>
            <w:b w:val="0"/>
            <w:sz w:val="24"/>
          </w:rPr>
          <w:t>Figure 76</w:t>
        </w:r>
      </w:fldSimple>
      <w:r w:rsidRPr="00640475">
        <w:rPr>
          <w:rFonts w:ascii="Times New Roman" w:hAnsi="Times New Roman"/>
          <w:b w:val="0"/>
          <w:sz w:val="24"/>
        </w:rPr>
        <w:t xml:space="preserve">, </w:t>
      </w:r>
      <w:r w:rsidR="0068131E">
        <w:rPr>
          <w:rFonts w:ascii="Times New Roman" w:hAnsi="Times New Roman"/>
          <w:b w:val="0"/>
          <w:sz w:val="24"/>
        </w:rPr>
        <w:t xml:space="preserve">and </w:t>
      </w:r>
      <w:fldSimple w:instr=" REF _Ref325551217 \h  \* MERGEFORMAT ">
        <w:r w:rsidR="003648B8" w:rsidRPr="003648B8">
          <w:rPr>
            <w:rFonts w:ascii="Times New Roman" w:hAnsi="Times New Roman"/>
            <w:b w:val="0"/>
            <w:sz w:val="24"/>
          </w:rPr>
          <w:t>Figure 77</w:t>
        </w:r>
      </w:fldSimple>
      <w:r w:rsidR="006959DD">
        <w:rPr>
          <w:rFonts w:ascii="Times New Roman" w:hAnsi="Times New Roman"/>
          <w:b w:val="0"/>
          <w:sz w:val="24"/>
        </w:rPr>
        <w:t xml:space="preserve">, respectively. </w:t>
      </w:r>
      <w:r w:rsidR="008B39BD">
        <w:rPr>
          <w:rFonts w:ascii="Times New Roman" w:hAnsi="Times New Roman"/>
          <w:b w:val="0"/>
          <w:sz w:val="24"/>
        </w:rPr>
        <w:t>The c</w:t>
      </w:r>
      <w:r w:rsidRPr="00640475">
        <w:rPr>
          <w:rFonts w:ascii="Times New Roman" w:hAnsi="Times New Roman"/>
          <w:b w:val="0"/>
          <w:sz w:val="24"/>
        </w:rPr>
        <w:t xml:space="preserve">ombined historical energy sector footprint, shown </w:t>
      </w:r>
      <w:r w:rsidR="00D87AE8">
        <w:rPr>
          <w:rFonts w:ascii="Times New Roman" w:hAnsi="Times New Roman"/>
          <w:b w:val="0"/>
          <w:sz w:val="24"/>
        </w:rPr>
        <w:t>for each</w:t>
      </w:r>
      <w:r w:rsidRPr="00640475">
        <w:rPr>
          <w:rFonts w:ascii="Times New Roman" w:hAnsi="Times New Roman"/>
          <w:b w:val="0"/>
          <w:sz w:val="24"/>
        </w:rPr>
        <w:t xml:space="preserve"> township, has grown exponentially (</w:t>
      </w:r>
      <w:fldSimple w:instr=" REF _Ref325551316 \h  \* MERGEFORMAT ">
        <w:r w:rsidR="003648B8" w:rsidRPr="003648B8">
          <w:rPr>
            <w:rFonts w:ascii="Times New Roman" w:hAnsi="Times New Roman"/>
            <w:b w:val="0"/>
            <w:sz w:val="24"/>
          </w:rPr>
          <w:t>Figure 81</w:t>
        </w:r>
      </w:fldSimple>
      <w:r w:rsidR="006959DD">
        <w:t xml:space="preserve"> </w:t>
      </w:r>
      <w:r w:rsidR="006959DD">
        <w:rPr>
          <w:rFonts w:ascii="Times New Roman" w:hAnsi="Times New Roman"/>
          <w:b w:val="0"/>
          <w:sz w:val="24"/>
        </w:rPr>
        <w:t xml:space="preserve">and </w:t>
      </w:r>
      <w:fldSimple w:instr=" REF _Ref326247626 \h  \* MERGEFORMAT ">
        <w:r w:rsidR="003648B8" w:rsidRPr="003648B8">
          <w:rPr>
            <w:rFonts w:ascii="Times New Roman" w:hAnsi="Times New Roman"/>
            <w:b w:val="0"/>
            <w:sz w:val="24"/>
          </w:rPr>
          <w:t xml:space="preserve">Figure </w:t>
        </w:r>
        <w:r w:rsidR="003648B8" w:rsidRPr="003648B8">
          <w:rPr>
            <w:rFonts w:ascii="Times New Roman" w:hAnsi="Times New Roman"/>
            <w:b w:val="0"/>
            <w:noProof/>
            <w:sz w:val="24"/>
          </w:rPr>
          <w:t>82</w:t>
        </w:r>
      </w:fldSimple>
      <w:r w:rsidRPr="00640475">
        <w:rPr>
          <w:rFonts w:ascii="Times New Roman" w:hAnsi="Times New Roman"/>
          <w:b w:val="0"/>
          <w:sz w:val="24"/>
        </w:rPr>
        <w:t>) at both provincial and CLFN scales</w:t>
      </w:r>
      <w:r w:rsidR="00D87AE8">
        <w:rPr>
          <w:rFonts w:ascii="Times New Roman" w:hAnsi="Times New Roman"/>
          <w:b w:val="0"/>
          <w:sz w:val="24"/>
        </w:rPr>
        <w:t>. H</w:t>
      </w:r>
      <w:r w:rsidR="008B39BD">
        <w:rPr>
          <w:rFonts w:ascii="Times New Roman" w:hAnsi="Times New Roman"/>
          <w:b w:val="0"/>
          <w:sz w:val="24"/>
        </w:rPr>
        <w:t>owever, it</w:t>
      </w:r>
      <w:r w:rsidRPr="00640475">
        <w:rPr>
          <w:rFonts w:ascii="Times New Roman" w:hAnsi="Times New Roman"/>
          <w:b w:val="0"/>
          <w:sz w:val="24"/>
        </w:rPr>
        <w:t xml:space="preserve"> is clear that conventional oil has not been an important contributor in the CLFN region. Although some significant volumes of natural gas have been historically produced, primary natural gas production is not permitted from much of the region because of its adverse effects on production of unconventional oil (</w:t>
      </w:r>
      <w:fldSimple w:instr=" REF _Ref325557741 \h  \* MERGEFORMAT ">
        <w:r w:rsidR="003648B8" w:rsidRPr="003648B8">
          <w:rPr>
            <w:rFonts w:ascii="Times New Roman" w:hAnsi="Times New Roman"/>
            <w:b w:val="0"/>
            <w:sz w:val="24"/>
          </w:rPr>
          <w:t>Figure 83</w:t>
        </w:r>
      </w:fldSimple>
      <w:r w:rsidRPr="00640475">
        <w:rPr>
          <w:rFonts w:ascii="Times New Roman" w:hAnsi="Times New Roman"/>
          <w:b w:val="0"/>
          <w:sz w:val="24"/>
        </w:rPr>
        <w:t xml:space="preserve">, </w:t>
      </w:r>
      <w:fldSimple w:instr=" REF _Ref325557788 \h  \* MERGEFORMAT ">
        <w:r w:rsidR="003648B8" w:rsidRPr="003648B8">
          <w:rPr>
            <w:rFonts w:ascii="Times New Roman" w:hAnsi="Times New Roman"/>
            <w:b w:val="0"/>
            <w:sz w:val="24"/>
          </w:rPr>
          <w:t>Figure 84</w:t>
        </w:r>
      </w:fldSimple>
      <w:r w:rsidRPr="00640475">
        <w:rPr>
          <w:rFonts w:ascii="Times New Roman" w:hAnsi="Times New Roman"/>
          <w:b w:val="0"/>
          <w:sz w:val="24"/>
        </w:rPr>
        <w:t xml:space="preserve">). The hydrocarbon focus of this region is </w:t>
      </w:r>
      <w:r w:rsidR="008B39BD">
        <w:rPr>
          <w:rFonts w:ascii="Times New Roman" w:hAnsi="Times New Roman"/>
          <w:b w:val="0"/>
          <w:sz w:val="24"/>
        </w:rPr>
        <w:t>to extract</w:t>
      </w:r>
      <w:r w:rsidRPr="00640475">
        <w:rPr>
          <w:rFonts w:ascii="Times New Roman" w:hAnsi="Times New Roman"/>
          <w:b w:val="0"/>
          <w:sz w:val="24"/>
        </w:rPr>
        <w:t xml:space="preserve"> unconventional oil (heavy oil, bitumen), and the Government of Alberta has </w:t>
      </w:r>
      <w:r w:rsidR="008B39BD">
        <w:rPr>
          <w:rFonts w:ascii="Times New Roman" w:hAnsi="Times New Roman"/>
          <w:b w:val="0"/>
          <w:sz w:val="24"/>
        </w:rPr>
        <w:t>developed</w:t>
      </w:r>
      <w:r w:rsidRPr="00640475">
        <w:rPr>
          <w:rFonts w:ascii="Times New Roman" w:hAnsi="Times New Roman"/>
          <w:b w:val="0"/>
          <w:sz w:val="24"/>
        </w:rPr>
        <w:t xml:space="preserve"> policies and regulations </w:t>
      </w:r>
      <w:r w:rsidR="008B39BD">
        <w:rPr>
          <w:rFonts w:ascii="Times New Roman" w:hAnsi="Times New Roman"/>
          <w:b w:val="0"/>
          <w:sz w:val="24"/>
        </w:rPr>
        <w:t>intended to encourage</w:t>
      </w:r>
      <w:r w:rsidRPr="00640475">
        <w:rPr>
          <w:rFonts w:ascii="Times New Roman" w:hAnsi="Times New Roman"/>
          <w:b w:val="0"/>
          <w:sz w:val="24"/>
        </w:rPr>
        <w:t xml:space="preserve"> the exploration, extraction and translocation of these valued hydrocarbons to provincial, national and international markets.</w:t>
      </w:r>
    </w:p>
    <w:p w:rsidR="000B5014" w:rsidRPr="00640475" w:rsidRDefault="000B5014" w:rsidP="00640475">
      <w:pPr>
        <w:pStyle w:val="Arialbold16ptcentredtitlepagetext"/>
        <w:jc w:val="left"/>
        <w:rPr>
          <w:rFonts w:ascii="Times New Roman" w:hAnsi="Times New Roman"/>
          <w:b w:val="0"/>
          <w:sz w:val="24"/>
        </w:rPr>
      </w:pPr>
    </w:p>
    <w:p w:rsidR="00640475" w:rsidRPr="00640475" w:rsidRDefault="00640475" w:rsidP="00640475">
      <w:pPr>
        <w:pStyle w:val="BodyText"/>
        <w:rPr>
          <w:lang w:val="en-US"/>
        </w:rPr>
      </w:pPr>
      <w:r w:rsidRPr="00640475">
        <w:rPr>
          <w:lang w:val="en-US"/>
        </w:rPr>
        <w:t xml:space="preserve">Historical hydrocarbon extraction has generated a substantial footprint of 21,000 ha and ~24,000 km of edge on CLFN SA, comprised of seismic lines (5,761 ha, 14,402 km; </w:t>
      </w:r>
      <w:fldSimple w:instr=" REF _Ref325563145 \h  \* MERGEFORMAT ">
        <w:r w:rsidR="003648B8">
          <w:t xml:space="preserve">Figure </w:t>
        </w:r>
        <w:r w:rsidR="003648B8">
          <w:rPr>
            <w:noProof/>
          </w:rPr>
          <w:t>78</w:t>
        </w:r>
      </w:fldSimple>
      <w:r w:rsidRPr="00640475">
        <w:rPr>
          <w:lang w:val="en-US"/>
        </w:rPr>
        <w:t xml:space="preserve">), wellsites (5,391 ha, 2,716 km; </w:t>
      </w:r>
      <w:fldSimple w:instr=" REF _Ref325563161 \h  \* MERGEFORMAT ">
        <w:r w:rsidR="003648B8">
          <w:t xml:space="preserve">Figure </w:t>
        </w:r>
        <w:r w:rsidR="003648B8">
          <w:rPr>
            <w:noProof/>
          </w:rPr>
          <w:t>79</w:t>
        </w:r>
      </w:fldSimple>
      <w:r w:rsidRPr="00640475">
        <w:rPr>
          <w:lang w:val="en-US"/>
        </w:rPr>
        <w:t xml:space="preserve">), pipelines (5,688 ha, 6,406 km), and access roads (3,694 ha, 2,463 km; </w:t>
      </w:r>
      <w:fldSimple w:instr=" REF _Ref325563173 \h  \* MERGEFORMAT ">
        <w:r w:rsidR="003648B8">
          <w:t xml:space="preserve">Figure </w:t>
        </w:r>
        <w:r w:rsidR="003648B8">
          <w:rPr>
            <w:noProof/>
          </w:rPr>
          <w:t>80</w:t>
        </w:r>
      </w:fldSimple>
      <w:r w:rsidRPr="00640475">
        <w:rPr>
          <w:lang w:val="en-US"/>
        </w:rPr>
        <w:t xml:space="preserve">).  </w:t>
      </w:r>
      <w:r w:rsidR="00AE3F84">
        <w:rPr>
          <w:lang w:val="en-US"/>
        </w:rPr>
        <w:t xml:space="preserve"> </w:t>
      </w:r>
    </w:p>
    <w:p w:rsidR="00EC1DA7" w:rsidRDefault="00EC1DA7" w:rsidP="00B33428">
      <w:pPr>
        <w:pStyle w:val="BodyText"/>
        <w:rPr>
          <w:lang w:val="en-US"/>
        </w:rPr>
      </w:pPr>
      <w:r>
        <w:rPr>
          <w:lang w:val="en-US"/>
        </w:rPr>
        <w:t xml:space="preserve">This </w:t>
      </w:r>
      <w:r w:rsidR="00B02309">
        <w:rPr>
          <w:lang w:val="en-US"/>
        </w:rPr>
        <w:t xml:space="preserve">ALCES </w:t>
      </w:r>
      <w:r>
        <w:rPr>
          <w:lang w:val="en-US"/>
        </w:rPr>
        <w:t xml:space="preserve">project was triggered by one of </w:t>
      </w:r>
      <w:r w:rsidR="008055D8">
        <w:rPr>
          <w:lang w:val="en-US"/>
        </w:rPr>
        <w:t>dozen</w:t>
      </w:r>
      <w:r>
        <w:rPr>
          <w:lang w:val="en-US"/>
        </w:rPr>
        <w:t xml:space="preserve">s of </w:t>
      </w:r>
      <w:r w:rsidR="008B39BD">
        <w:rPr>
          <w:lang w:val="en-US"/>
        </w:rPr>
        <w:t>forecasted</w:t>
      </w:r>
      <w:r>
        <w:rPr>
          <w:lang w:val="en-US"/>
        </w:rPr>
        <w:t xml:space="preserve"> bitumen and heavy oil projects that will </w:t>
      </w:r>
      <w:r w:rsidR="007B0F40">
        <w:rPr>
          <w:lang w:val="en-US"/>
        </w:rPr>
        <w:t xml:space="preserve">affect </w:t>
      </w:r>
      <w:r>
        <w:rPr>
          <w:lang w:val="en-US"/>
        </w:rPr>
        <w:t>the landscape and peoples of CLFN</w:t>
      </w:r>
      <w:r w:rsidR="00B02309">
        <w:rPr>
          <w:lang w:val="en-US"/>
        </w:rPr>
        <w:t xml:space="preserve"> during the next several decades</w:t>
      </w:r>
      <w:r>
        <w:rPr>
          <w:lang w:val="en-US"/>
        </w:rPr>
        <w:t>.</w:t>
      </w:r>
      <w:r w:rsidR="00B02309">
        <w:rPr>
          <w:lang w:val="en-US"/>
        </w:rPr>
        <w:t xml:space="preserve"> Although the </w:t>
      </w:r>
      <w:r w:rsidR="008B39BD">
        <w:rPr>
          <w:lang w:val="en-US"/>
        </w:rPr>
        <w:t xml:space="preserve">individual </w:t>
      </w:r>
      <w:r w:rsidR="00B02309">
        <w:rPr>
          <w:lang w:val="en-US"/>
        </w:rPr>
        <w:t xml:space="preserve">footprint of </w:t>
      </w:r>
      <w:r w:rsidR="00A502AC">
        <w:rPr>
          <w:lang w:val="en-US"/>
        </w:rPr>
        <w:t>individual</w:t>
      </w:r>
      <w:r w:rsidR="00B02309">
        <w:rPr>
          <w:lang w:val="en-US"/>
        </w:rPr>
        <w:t xml:space="preserve"> project</w:t>
      </w:r>
      <w:r w:rsidR="00A502AC">
        <w:rPr>
          <w:lang w:val="en-US"/>
        </w:rPr>
        <w:t>s</w:t>
      </w:r>
      <w:r w:rsidR="00C24923">
        <w:rPr>
          <w:lang w:val="en-US"/>
        </w:rPr>
        <w:t xml:space="preserve"> could be viewed by some as minor</w:t>
      </w:r>
      <w:r w:rsidR="00B46841">
        <w:rPr>
          <w:lang w:val="en-US"/>
        </w:rPr>
        <w:t xml:space="preserve"> </w:t>
      </w:r>
      <w:r w:rsidR="008B39BD">
        <w:rPr>
          <w:lang w:val="en-US"/>
        </w:rPr>
        <w:t>(</w:t>
      </w:r>
      <w:r w:rsidR="00B46841">
        <w:rPr>
          <w:lang w:val="en-US"/>
        </w:rPr>
        <w:t xml:space="preserve">if </w:t>
      </w:r>
      <w:r w:rsidR="008055D8">
        <w:rPr>
          <w:lang w:val="en-US"/>
        </w:rPr>
        <w:t>seen</w:t>
      </w:r>
      <w:r w:rsidR="00B46841">
        <w:rPr>
          <w:lang w:val="en-US"/>
        </w:rPr>
        <w:t xml:space="preserve"> in isolation</w:t>
      </w:r>
      <w:r w:rsidR="00C24923">
        <w:rPr>
          <w:lang w:val="en-US"/>
        </w:rPr>
        <w:t xml:space="preserve"> and expressed</w:t>
      </w:r>
      <w:r w:rsidR="00B02309">
        <w:rPr>
          <w:lang w:val="en-US"/>
        </w:rPr>
        <w:t xml:space="preserve"> </w:t>
      </w:r>
      <w:r w:rsidR="00B46841">
        <w:rPr>
          <w:lang w:val="en-US"/>
        </w:rPr>
        <w:t>at the regional scale</w:t>
      </w:r>
      <w:r w:rsidR="008B39BD">
        <w:rPr>
          <w:lang w:val="en-US"/>
        </w:rPr>
        <w:t>)</w:t>
      </w:r>
      <w:r w:rsidR="00C24923">
        <w:rPr>
          <w:lang w:val="en-US"/>
        </w:rPr>
        <w:t xml:space="preserve"> (</w:t>
      </w:r>
      <w:r w:rsidR="00575CA7">
        <w:rPr>
          <w:lang w:val="en-US"/>
        </w:rPr>
        <w:fldChar w:fldCharType="begin"/>
      </w:r>
      <w:r w:rsidR="00C24923">
        <w:rPr>
          <w:lang w:val="en-US"/>
        </w:rPr>
        <w:instrText xml:space="preserve"> REF _Ref325566420 \h </w:instrText>
      </w:r>
      <w:r w:rsidR="00575CA7">
        <w:rPr>
          <w:lang w:val="en-US"/>
        </w:rPr>
      </w:r>
      <w:r w:rsidR="00575CA7">
        <w:rPr>
          <w:lang w:val="en-US"/>
        </w:rPr>
        <w:fldChar w:fldCharType="separate"/>
      </w:r>
      <w:r w:rsidR="003648B8">
        <w:t xml:space="preserve">Figure </w:t>
      </w:r>
      <w:r w:rsidR="003648B8">
        <w:rPr>
          <w:noProof/>
        </w:rPr>
        <w:t>85</w:t>
      </w:r>
      <w:r w:rsidR="00575CA7">
        <w:rPr>
          <w:lang w:val="en-US"/>
        </w:rPr>
        <w:fldChar w:fldCharType="end"/>
      </w:r>
      <w:r w:rsidR="00C24923">
        <w:rPr>
          <w:lang w:val="en-US"/>
        </w:rPr>
        <w:t>)</w:t>
      </w:r>
      <w:r w:rsidR="00B46841">
        <w:rPr>
          <w:lang w:val="en-US"/>
        </w:rPr>
        <w:t>,</w:t>
      </w:r>
      <w:r w:rsidR="00B02309">
        <w:rPr>
          <w:lang w:val="en-US"/>
        </w:rPr>
        <w:t xml:space="preserve"> when considered in combination with other oil projects required to extract the remaining 5 B m</w:t>
      </w:r>
      <w:r w:rsidR="00B02309" w:rsidRPr="00C24923">
        <w:rPr>
          <w:vertAlign w:val="superscript"/>
          <w:lang w:val="en-US"/>
        </w:rPr>
        <w:t>3</w:t>
      </w:r>
      <w:r w:rsidR="00B02309">
        <w:rPr>
          <w:lang w:val="en-US"/>
        </w:rPr>
        <w:t xml:space="preserve"> of bitumen and heavy oil</w:t>
      </w:r>
      <w:r w:rsidR="007B0F40">
        <w:rPr>
          <w:lang w:val="en-US"/>
        </w:rPr>
        <w:t>,</w:t>
      </w:r>
      <w:r w:rsidR="00B02309">
        <w:rPr>
          <w:lang w:val="en-US"/>
        </w:rPr>
        <w:t xml:space="preserve"> </w:t>
      </w:r>
      <w:r w:rsidR="00A502AC">
        <w:rPr>
          <w:lang w:val="en-US"/>
        </w:rPr>
        <w:t>a series of proposed</w:t>
      </w:r>
      <w:r w:rsidR="00C24923">
        <w:rPr>
          <w:lang w:val="en-US"/>
        </w:rPr>
        <w:t xml:space="preserve"> project will</w:t>
      </w:r>
      <w:r w:rsidR="00B02309">
        <w:rPr>
          <w:lang w:val="en-US"/>
        </w:rPr>
        <w:t xml:space="preserve"> contribute to a massive landscape transformation not seen since the retreat of glacial ice sheets 10,000 years ago.</w:t>
      </w:r>
      <w:r w:rsidR="00B46841">
        <w:rPr>
          <w:lang w:val="en-US"/>
        </w:rPr>
        <w:t xml:space="preserve"> At the local scale, the footprint of </w:t>
      </w:r>
      <w:r w:rsidR="00A502AC">
        <w:rPr>
          <w:lang w:val="en-US"/>
        </w:rPr>
        <w:t>an individual</w:t>
      </w:r>
      <w:r w:rsidR="00B46841">
        <w:rPr>
          <w:lang w:val="en-US"/>
        </w:rPr>
        <w:t xml:space="preserve"> project will have a significant and adverse effect on ecological and cultural indicators for a minimum of several decades.</w:t>
      </w:r>
    </w:p>
    <w:p w:rsidR="00B33428" w:rsidRDefault="00D04594" w:rsidP="00B33428">
      <w:pPr>
        <w:pStyle w:val="BodyText"/>
        <w:rPr>
          <w:lang w:val="en-US"/>
        </w:rPr>
      </w:pPr>
      <w:r>
        <w:rPr>
          <w:lang w:val="en-US"/>
        </w:rPr>
        <w:t xml:space="preserve"> </w:t>
      </w:r>
    </w:p>
    <w:p w:rsidR="00AB7672" w:rsidRDefault="005C6B34" w:rsidP="00E77828">
      <w:pPr>
        <w:pStyle w:val="BodyText"/>
        <w:keepNext/>
        <w:spacing w:after="0"/>
      </w:pPr>
      <w:r>
        <w:rPr>
          <w:noProof/>
          <w:lang w:val="en-US"/>
        </w:rPr>
        <w:lastRenderedPageBreak/>
        <w:drawing>
          <wp:inline distT="0" distB="0" distL="0" distR="0">
            <wp:extent cx="4686024" cy="3534117"/>
            <wp:effectExtent l="19050" t="19050" r="19326" b="28233"/>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82" cstate="print"/>
                    <a:srcRect/>
                    <a:stretch>
                      <a:fillRect/>
                    </a:stretch>
                  </pic:blipFill>
                  <pic:spPr bwMode="auto">
                    <a:xfrm>
                      <a:off x="0" y="0"/>
                      <a:ext cx="4716672" cy="3557231"/>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5C6B34" w:rsidRDefault="00AB7672" w:rsidP="00AB7672">
      <w:pPr>
        <w:pStyle w:val="Caption"/>
      </w:pPr>
      <w:bookmarkStart w:id="167" w:name="_Ref325551413"/>
      <w:bookmarkStart w:id="168" w:name="_Toc338703850"/>
      <w:proofErr w:type="gramStart"/>
      <w:r>
        <w:t xml:space="preserve">Figure </w:t>
      </w:r>
      <w:fldSimple w:instr=" SEQ Figure \* ARABIC ">
        <w:r w:rsidR="00A02D22">
          <w:rPr>
            <w:noProof/>
          </w:rPr>
          <w:t>70</w:t>
        </w:r>
      </w:fldSimple>
      <w:bookmarkEnd w:id="167"/>
      <w:r w:rsidR="006D27F0">
        <w:t>.</w:t>
      </w:r>
      <w:proofErr w:type="gramEnd"/>
      <w:r w:rsidR="006D27F0">
        <w:t xml:space="preserve"> </w:t>
      </w:r>
      <w:r w:rsidR="00F43CF2">
        <w:t>The hydrocarbon sector i</w:t>
      </w:r>
      <w:r w:rsidR="00202A19">
        <w:t xml:space="preserve">s an important </w:t>
      </w:r>
      <w:r w:rsidR="00C544DE">
        <w:t>land-use</w:t>
      </w:r>
      <w:r w:rsidR="00202A19">
        <w:t xml:space="preserve"> in the </w:t>
      </w:r>
      <w:r w:rsidR="00F43CF2">
        <w:t>CLFN</w:t>
      </w:r>
      <w:r w:rsidR="00202A19">
        <w:t xml:space="preserve"> SA</w:t>
      </w:r>
      <w:r w:rsidR="00F43CF2">
        <w:t>, and one whose benefits and liabilities are immense.</w:t>
      </w:r>
      <w:bookmarkEnd w:id="168"/>
    </w:p>
    <w:p w:rsidR="00F43CF2" w:rsidRDefault="00F43CF2" w:rsidP="00F43CF2">
      <w:pPr>
        <w:rPr>
          <w:lang w:eastAsia="en-CA"/>
        </w:rPr>
      </w:pPr>
    </w:p>
    <w:p w:rsidR="001B64B4" w:rsidRDefault="001B64B4" w:rsidP="001B64B4">
      <w:pPr>
        <w:keepNext/>
      </w:pPr>
      <w:r>
        <w:rPr>
          <w:noProof/>
          <w:lang w:val="en-US"/>
        </w:rPr>
        <w:drawing>
          <wp:inline distT="0" distB="0" distL="0" distR="0">
            <wp:extent cx="4711212" cy="3536312"/>
            <wp:effectExtent l="19050" t="19050" r="13188" b="26038"/>
            <wp:docPr id="75"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83" cstate="print"/>
                    <a:srcRect/>
                    <a:stretch>
                      <a:fillRect/>
                    </a:stretch>
                  </pic:blipFill>
                  <pic:spPr bwMode="auto">
                    <a:xfrm>
                      <a:off x="0" y="0"/>
                      <a:ext cx="4723251" cy="3545349"/>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1B64B4" w:rsidRDefault="001B64B4" w:rsidP="001B64B4">
      <w:pPr>
        <w:pStyle w:val="Caption"/>
      </w:pPr>
      <w:bookmarkStart w:id="169" w:name="_Ref325556797"/>
      <w:bookmarkStart w:id="170" w:name="_Toc338703851"/>
      <w:proofErr w:type="gramStart"/>
      <w:r>
        <w:t xml:space="preserve">Figure </w:t>
      </w:r>
      <w:fldSimple w:instr=" SEQ Figure \* ARABIC ">
        <w:r w:rsidR="00A02D22">
          <w:rPr>
            <w:noProof/>
          </w:rPr>
          <w:t>71</w:t>
        </w:r>
      </w:fldSimple>
      <w:bookmarkEnd w:id="169"/>
      <w:r>
        <w:t>.</w:t>
      </w:r>
      <w:proofErr w:type="gramEnd"/>
      <w:r>
        <w:t xml:space="preserve"> </w:t>
      </w:r>
      <w:proofErr w:type="gramStart"/>
      <w:r>
        <w:t xml:space="preserve">Key oil and bitumen statistics for </w:t>
      </w:r>
      <w:r w:rsidR="00A1523B">
        <w:t xml:space="preserve">CLFN SA and </w:t>
      </w:r>
      <w:r>
        <w:t>Alberta.</w:t>
      </w:r>
      <w:proofErr w:type="gramEnd"/>
      <w:r>
        <w:t xml:space="preserve"> Source: ERCB 2010.</w:t>
      </w:r>
      <w:bookmarkEnd w:id="170"/>
    </w:p>
    <w:p w:rsidR="00F43CF2" w:rsidRDefault="00F43CF2" w:rsidP="00AD45C3">
      <w:pPr>
        <w:pStyle w:val="BodyText"/>
        <w:keepNext/>
        <w:spacing w:after="0"/>
      </w:pPr>
      <w:r>
        <w:rPr>
          <w:noProof/>
          <w:lang w:val="en-US"/>
        </w:rPr>
        <w:lastRenderedPageBreak/>
        <w:drawing>
          <wp:inline distT="0" distB="0" distL="0" distR="0">
            <wp:extent cx="4849087" cy="3600000"/>
            <wp:effectExtent l="19050" t="19050" r="27713" b="19500"/>
            <wp:docPr id="754"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84" cstate="print"/>
                    <a:srcRect/>
                    <a:stretch>
                      <a:fillRect/>
                    </a:stretch>
                  </pic:blipFill>
                  <pic:spPr bwMode="auto">
                    <a:xfrm>
                      <a:off x="0" y="0"/>
                      <a:ext cx="4849087"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F43CF2" w:rsidRDefault="00F43CF2" w:rsidP="00F43CF2">
      <w:pPr>
        <w:pStyle w:val="Caption"/>
      </w:pPr>
      <w:bookmarkStart w:id="171" w:name="_Ref325549573"/>
      <w:bookmarkStart w:id="172" w:name="_Toc338703852"/>
      <w:proofErr w:type="gramStart"/>
      <w:r>
        <w:t xml:space="preserve">Figure </w:t>
      </w:r>
      <w:fldSimple w:instr=" SEQ Figure \* ARABIC ">
        <w:r w:rsidR="00A02D22">
          <w:rPr>
            <w:noProof/>
          </w:rPr>
          <w:t>72</w:t>
        </w:r>
      </w:fldSimple>
      <w:bookmarkEnd w:id="171"/>
      <w:r>
        <w:t>.</w:t>
      </w:r>
      <w:proofErr w:type="gramEnd"/>
      <w:r>
        <w:t xml:space="preserve"> The traditional lands of CLFN span both the Ft. McMurray and Cold Lake oilsand regions of Alberta.</w:t>
      </w:r>
      <w:bookmarkEnd w:id="172"/>
    </w:p>
    <w:p w:rsidR="00E77828" w:rsidRDefault="00E77828" w:rsidP="00874B3A">
      <w:pPr>
        <w:pStyle w:val="BodyText"/>
        <w:keepNext/>
      </w:pPr>
    </w:p>
    <w:p w:rsidR="00423ADE" w:rsidRDefault="00423ADE" w:rsidP="00423ADE">
      <w:pPr>
        <w:keepNext/>
      </w:pPr>
      <w:r>
        <w:rPr>
          <w:noProof/>
          <w:lang w:val="en-US"/>
        </w:rPr>
        <w:drawing>
          <wp:inline distT="0" distB="0" distL="0" distR="0">
            <wp:extent cx="4771733" cy="3600000"/>
            <wp:effectExtent l="19050" t="19050" r="9817" b="19500"/>
            <wp:docPr id="772"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85" cstate="print"/>
                    <a:srcRect/>
                    <a:stretch>
                      <a:fillRect/>
                    </a:stretch>
                  </pic:blipFill>
                  <pic:spPr bwMode="auto">
                    <a:xfrm>
                      <a:off x="0" y="0"/>
                      <a:ext cx="4771733"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423ADE" w:rsidRDefault="00423ADE" w:rsidP="00423ADE">
      <w:pPr>
        <w:pStyle w:val="Caption"/>
      </w:pPr>
      <w:bookmarkStart w:id="173" w:name="_Ref325557092"/>
      <w:bookmarkStart w:id="174" w:name="_Toc338703853"/>
      <w:proofErr w:type="gramStart"/>
      <w:r>
        <w:t xml:space="preserve">Figure </w:t>
      </w:r>
      <w:fldSimple w:instr=" SEQ Figure \* ARABIC ">
        <w:r w:rsidR="00A02D22">
          <w:rPr>
            <w:noProof/>
          </w:rPr>
          <w:t>73</w:t>
        </w:r>
      </w:fldSimple>
      <w:bookmarkEnd w:id="173"/>
      <w:r>
        <w:t>.</w:t>
      </w:r>
      <w:proofErr w:type="gramEnd"/>
      <w:r>
        <w:t xml:space="preserve"> </w:t>
      </w:r>
      <w:proofErr w:type="gramStart"/>
      <w:r>
        <w:t>Histor</w:t>
      </w:r>
      <w:r w:rsidR="001B64B4">
        <w:t>i</w:t>
      </w:r>
      <w:r>
        <w:t>cal production of heavy oil and bitumen in Alberta in relation to the Cold Lake reserves.</w:t>
      </w:r>
      <w:proofErr w:type="gramEnd"/>
      <w:r>
        <w:t xml:space="preserve"> Source: ERCB, 2010.</w:t>
      </w:r>
      <w:bookmarkEnd w:id="174"/>
    </w:p>
    <w:p w:rsidR="00F21FA6" w:rsidRDefault="00F21FA6" w:rsidP="00F21FA6">
      <w:pPr>
        <w:keepNext/>
      </w:pPr>
      <w:r>
        <w:rPr>
          <w:noProof/>
          <w:lang w:val="en-US"/>
        </w:rPr>
        <w:lastRenderedPageBreak/>
        <w:drawing>
          <wp:inline distT="0" distB="0" distL="0" distR="0">
            <wp:extent cx="4769492" cy="3600000"/>
            <wp:effectExtent l="19050" t="19050" r="12058" b="19500"/>
            <wp:docPr id="73"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6" cstate="print"/>
                    <a:srcRect/>
                    <a:stretch>
                      <a:fillRect/>
                    </a:stretch>
                  </pic:blipFill>
                  <pic:spPr bwMode="auto">
                    <a:xfrm>
                      <a:off x="0" y="0"/>
                      <a:ext cx="4769492"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F21FA6" w:rsidRDefault="00F21FA6" w:rsidP="00F21FA6">
      <w:pPr>
        <w:pStyle w:val="Caption"/>
      </w:pPr>
      <w:bookmarkStart w:id="175" w:name="_Ref325557468"/>
      <w:bookmarkStart w:id="176" w:name="_Toc338703854"/>
      <w:proofErr w:type="gramStart"/>
      <w:r>
        <w:t xml:space="preserve">Figure </w:t>
      </w:r>
      <w:fldSimple w:instr=" SEQ Figure \* ARABIC ">
        <w:r w:rsidR="00A02D22">
          <w:rPr>
            <w:noProof/>
          </w:rPr>
          <w:t>74</w:t>
        </w:r>
      </w:fldSimple>
      <w:bookmarkEnd w:id="175"/>
      <w:r>
        <w:t>.</w:t>
      </w:r>
      <w:proofErr w:type="gramEnd"/>
      <w:r w:rsidR="00202A19">
        <w:t xml:space="preserve"> </w:t>
      </w:r>
      <w:proofErr w:type="gramStart"/>
      <w:r w:rsidR="00202A19">
        <w:t>M</w:t>
      </w:r>
      <w:r>
        <w:t xml:space="preserve">ajor heavy oil and bitumen deposits in the </w:t>
      </w:r>
      <w:r w:rsidR="00202A19">
        <w:t>Cold Lake region</w:t>
      </w:r>
      <w:r>
        <w:t>.</w:t>
      </w:r>
      <w:proofErr w:type="gramEnd"/>
      <w:r w:rsidR="00A1523B">
        <w:t xml:space="preserve"> Source: ERCB, 2011.</w:t>
      </w:r>
      <w:bookmarkEnd w:id="176"/>
    </w:p>
    <w:p w:rsidR="0046343B" w:rsidRPr="0046343B" w:rsidRDefault="0046343B" w:rsidP="0046343B">
      <w:pPr>
        <w:rPr>
          <w:lang w:eastAsia="en-CA"/>
        </w:rPr>
      </w:pPr>
    </w:p>
    <w:p w:rsidR="00AB7672" w:rsidRDefault="008174B1" w:rsidP="00AD45C3">
      <w:pPr>
        <w:pStyle w:val="BodyText"/>
        <w:keepNext/>
        <w:spacing w:after="0"/>
      </w:pPr>
      <w:r>
        <w:rPr>
          <w:noProof/>
          <w:lang w:val="en-US"/>
        </w:rPr>
        <w:drawing>
          <wp:inline distT="0" distB="0" distL="0" distR="0">
            <wp:extent cx="4783003" cy="3600000"/>
            <wp:effectExtent l="19050" t="19050" r="17597" b="19500"/>
            <wp:docPr id="24"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7" cstate="print"/>
                    <a:srcRect/>
                    <a:stretch>
                      <a:fillRect/>
                    </a:stretch>
                  </pic:blipFill>
                  <pic:spPr bwMode="auto">
                    <a:xfrm>
                      <a:off x="0" y="0"/>
                      <a:ext cx="4783003"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5C6B34" w:rsidRDefault="00AB7672" w:rsidP="00AB7672">
      <w:pPr>
        <w:pStyle w:val="Caption"/>
        <w:rPr>
          <w:lang w:val="en-US"/>
        </w:rPr>
      </w:pPr>
      <w:bookmarkStart w:id="177" w:name="_Ref325551213"/>
      <w:bookmarkStart w:id="178" w:name="_Toc338703855"/>
      <w:proofErr w:type="gramStart"/>
      <w:r>
        <w:t xml:space="preserve">Figure </w:t>
      </w:r>
      <w:fldSimple w:instr=" SEQ Figure \* ARABIC ">
        <w:r w:rsidR="00A02D22">
          <w:rPr>
            <w:noProof/>
          </w:rPr>
          <w:t>75</w:t>
        </w:r>
      </w:fldSimple>
      <w:bookmarkEnd w:id="177"/>
      <w:r w:rsidR="00F43CF2">
        <w:t>.</w:t>
      </w:r>
      <w:proofErr w:type="gramEnd"/>
      <w:r w:rsidR="00F43CF2">
        <w:t xml:space="preserve"> </w:t>
      </w:r>
      <w:proofErr w:type="gramStart"/>
      <w:r w:rsidR="00F43CF2">
        <w:t xml:space="preserve">CLFN </w:t>
      </w:r>
      <w:r w:rsidR="004C53F9">
        <w:t>SA</w:t>
      </w:r>
      <w:r w:rsidR="00F43CF2">
        <w:t xml:space="preserve"> in context of historical natural gas production in Alberta.</w:t>
      </w:r>
      <w:proofErr w:type="gramEnd"/>
      <w:r w:rsidR="00F43CF2">
        <w:t xml:space="preserve"> Source: ERCB, 2011.</w:t>
      </w:r>
      <w:bookmarkEnd w:id="178"/>
    </w:p>
    <w:p w:rsidR="005C6B34" w:rsidRDefault="005C6B34" w:rsidP="00B33428">
      <w:pPr>
        <w:pStyle w:val="BodyText"/>
        <w:rPr>
          <w:lang w:val="en-US"/>
        </w:rPr>
      </w:pPr>
    </w:p>
    <w:p w:rsidR="00AB7672" w:rsidRDefault="008174B1" w:rsidP="00AD45C3">
      <w:pPr>
        <w:pStyle w:val="BodyText"/>
        <w:keepNext/>
        <w:spacing w:after="0"/>
      </w:pPr>
      <w:r>
        <w:rPr>
          <w:noProof/>
          <w:lang w:val="en-US"/>
        </w:rPr>
        <w:lastRenderedPageBreak/>
        <w:drawing>
          <wp:inline distT="0" distB="0" distL="0" distR="0">
            <wp:extent cx="4747446" cy="3600000"/>
            <wp:effectExtent l="19050" t="19050" r="15054" b="1950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8" cstate="print"/>
                    <a:srcRect/>
                    <a:stretch>
                      <a:fillRect/>
                    </a:stretch>
                  </pic:blipFill>
                  <pic:spPr bwMode="auto">
                    <a:xfrm>
                      <a:off x="0" y="0"/>
                      <a:ext cx="4747446"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F43CF2" w:rsidRDefault="00AB7672" w:rsidP="00F43CF2">
      <w:pPr>
        <w:pStyle w:val="Caption"/>
        <w:rPr>
          <w:lang w:val="en-US"/>
        </w:rPr>
      </w:pPr>
      <w:bookmarkStart w:id="179" w:name="_Ref325551215"/>
      <w:bookmarkStart w:id="180" w:name="_Toc338703856"/>
      <w:proofErr w:type="gramStart"/>
      <w:r>
        <w:t xml:space="preserve">Figure </w:t>
      </w:r>
      <w:fldSimple w:instr=" SEQ Figure \* ARABIC ">
        <w:r w:rsidR="00A02D22">
          <w:rPr>
            <w:noProof/>
          </w:rPr>
          <w:t>76</w:t>
        </w:r>
      </w:fldSimple>
      <w:bookmarkEnd w:id="179"/>
      <w:r w:rsidR="00F43CF2">
        <w:t>.</w:t>
      </w:r>
      <w:proofErr w:type="gramEnd"/>
      <w:r w:rsidR="00F43CF2">
        <w:t xml:space="preserve"> </w:t>
      </w:r>
      <w:proofErr w:type="gramStart"/>
      <w:r w:rsidR="00F43CF2">
        <w:t xml:space="preserve">CLFN </w:t>
      </w:r>
      <w:r w:rsidR="004C53F9">
        <w:t>SA</w:t>
      </w:r>
      <w:r w:rsidR="00F43CF2">
        <w:t xml:space="preserve"> in context of</w:t>
      </w:r>
      <w:r w:rsidR="00202A19">
        <w:t xml:space="preserve"> historical conventional oil </w:t>
      </w:r>
      <w:r w:rsidR="00F43CF2">
        <w:t>production in Alberta.</w:t>
      </w:r>
      <w:proofErr w:type="gramEnd"/>
      <w:r w:rsidR="00F43CF2">
        <w:t xml:space="preserve"> Source: ERCB, 2011.</w:t>
      </w:r>
      <w:bookmarkEnd w:id="180"/>
    </w:p>
    <w:p w:rsidR="005C6B34" w:rsidRDefault="005C6B34" w:rsidP="00AB7672">
      <w:pPr>
        <w:pStyle w:val="Caption"/>
        <w:rPr>
          <w:lang w:val="en-US"/>
        </w:rPr>
      </w:pPr>
    </w:p>
    <w:p w:rsidR="00AB7672" w:rsidRDefault="008174B1" w:rsidP="00AD45C3">
      <w:pPr>
        <w:pStyle w:val="BodyText"/>
        <w:keepNext/>
        <w:spacing w:after="0"/>
      </w:pPr>
      <w:r>
        <w:rPr>
          <w:noProof/>
          <w:lang w:val="en-US"/>
        </w:rPr>
        <w:drawing>
          <wp:inline distT="0" distB="0" distL="0" distR="0">
            <wp:extent cx="4812884" cy="3600000"/>
            <wp:effectExtent l="19050" t="19050" r="25816" b="1950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9" cstate="print"/>
                    <a:srcRect/>
                    <a:stretch>
                      <a:fillRect/>
                    </a:stretch>
                  </pic:blipFill>
                  <pic:spPr bwMode="auto">
                    <a:xfrm>
                      <a:off x="0" y="0"/>
                      <a:ext cx="4812884"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F43CF2" w:rsidRDefault="00AB7672" w:rsidP="00F43CF2">
      <w:pPr>
        <w:pStyle w:val="Caption"/>
        <w:rPr>
          <w:lang w:val="en-US"/>
        </w:rPr>
      </w:pPr>
      <w:bookmarkStart w:id="181" w:name="_Ref325551217"/>
      <w:bookmarkStart w:id="182" w:name="_Toc338703857"/>
      <w:proofErr w:type="gramStart"/>
      <w:r>
        <w:t xml:space="preserve">Figure </w:t>
      </w:r>
      <w:fldSimple w:instr=" SEQ Figure \* ARABIC ">
        <w:r w:rsidR="00A02D22">
          <w:rPr>
            <w:noProof/>
          </w:rPr>
          <w:t>77</w:t>
        </w:r>
      </w:fldSimple>
      <w:bookmarkEnd w:id="181"/>
      <w:r w:rsidR="00F43CF2">
        <w:t>.</w:t>
      </w:r>
      <w:proofErr w:type="gramEnd"/>
      <w:r w:rsidR="00F43CF2">
        <w:t xml:space="preserve"> </w:t>
      </w:r>
      <w:proofErr w:type="gramStart"/>
      <w:r w:rsidR="00F43CF2">
        <w:t xml:space="preserve">CLFN </w:t>
      </w:r>
      <w:r w:rsidR="004C53F9">
        <w:t>SA</w:t>
      </w:r>
      <w:r w:rsidR="00F43CF2">
        <w:t xml:space="preserve"> in context of historical unconventional oil (heavy, bitumen) production in Alberta.</w:t>
      </w:r>
      <w:proofErr w:type="gramEnd"/>
      <w:r w:rsidR="00F43CF2">
        <w:t xml:space="preserve"> Source: ERCB, 2011.</w:t>
      </w:r>
      <w:bookmarkEnd w:id="182"/>
    </w:p>
    <w:p w:rsidR="005C6B34" w:rsidRDefault="005C6B34" w:rsidP="00AB7672">
      <w:pPr>
        <w:pStyle w:val="Caption"/>
        <w:rPr>
          <w:lang w:val="en-US"/>
        </w:rPr>
      </w:pPr>
    </w:p>
    <w:p w:rsidR="00D473D0" w:rsidRDefault="00D473D0" w:rsidP="00AD45C3">
      <w:pPr>
        <w:pStyle w:val="BodyText"/>
        <w:keepNext/>
        <w:spacing w:after="0"/>
      </w:pPr>
      <w:r>
        <w:rPr>
          <w:noProof/>
          <w:lang w:val="en-US"/>
        </w:rPr>
        <w:lastRenderedPageBreak/>
        <w:drawing>
          <wp:inline distT="0" distB="0" distL="0" distR="0">
            <wp:extent cx="4763415" cy="3600000"/>
            <wp:effectExtent l="19050" t="19050" r="18135" b="1950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90" cstate="print"/>
                    <a:srcRect/>
                    <a:stretch>
                      <a:fillRect/>
                    </a:stretch>
                  </pic:blipFill>
                  <pic:spPr bwMode="auto">
                    <a:xfrm>
                      <a:off x="0" y="0"/>
                      <a:ext cx="4763415"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D473D0" w:rsidRDefault="00D473D0" w:rsidP="00D473D0">
      <w:pPr>
        <w:pStyle w:val="Caption"/>
      </w:pPr>
      <w:bookmarkStart w:id="183" w:name="_Ref325563145"/>
      <w:bookmarkStart w:id="184" w:name="_Toc338703858"/>
      <w:proofErr w:type="gramStart"/>
      <w:r>
        <w:t xml:space="preserve">Figure </w:t>
      </w:r>
      <w:fldSimple w:instr=" SEQ Figure \* ARABIC ">
        <w:r w:rsidR="00A02D22">
          <w:rPr>
            <w:noProof/>
          </w:rPr>
          <w:t>78</w:t>
        </w:r>
      </w:fldSimple>
      <w:bookmarkEnd w:id="183"/>
      <w:r>
        <w:t>.</w:t>
      </w:r>
      <w:proofErr w:type="gramEnd"/>
      <w:r>
        <w:t xml:space="preserve"> </w:t>
      </w:r>
      <w:r w:rsidRPr="00E70C35">
        <w:t xml:space="preserve">Current </w:t>
      </w:r>
      <w:r>
        <w:t>seismic line</w:t>
      </w:r>
      <w:r w:rsidRPr="00E70C35">
        <w:t xml:space="preserve"> network </w:t>
      </w:r>
      <w:r w:rsidR="004C53F9">
        <w:t>on CLFN SA</w:t>
      </w:r>
      <w:r w:rsidRPr="00E70C35">
        <w:t>.</w:t>
      </w:r>
      <w:bookmarkEnd w:id="184"/>
    </w:p>
    <w:p w:rsidR="00C467D3" w:rsidRPr="00C467D3" w:rsidRDefault="00C467D3" w:rsidP="00C467D3">
      <w:pPr>
        <w:rPr>
          <w:lang w:eastAsia="en-CA"/>
        </w:rPr>
      </w:pPr>
    </w:p>
    <w:p w:rsidR="00D473D0" w:rsidRDefault="00D473D0" w:rsidP="00AD45C3">
      <w:pPr>
        <w:pStyle w:val="BodyText"/>
        <w:keepNext/>
        <w:spacing w:after="0"/>
      </w:pPr>
      <w:r>
        <w:rPr>
          <w:noProof/>
          <w:lang w:val="en-US"/>
        </w:rPr>
        <w:drawing>
          <wp:inline distT="0" distB="0" distL="0" distR="0">
            <wp:extent cx="4816719" cy="3627345"/>
            <wp:effectExtent l="19050" t="19050" r="21981" b="11205"/>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pic:cNvPicPr>
                      <a:picLocks noChangeAspect="1" noChangeArrowheads="1"/>
                    </pic:cNvPicPr>
                  </pic:nvPicPr>
                  <pic:blipFill>
                    <a:blip r:embed="rId91" cstate="print"/>
                    <a:srcRect/>
                    <a:stretch>
                      <a:fillRect/>
                    </a:stretch>
                  </pic:blipFill>
                  <pic:spPr bwMode="auto">
                    <a:xfrm>
                      <a:off x="0" y="0"/>
                      <a:ext cx="4818006" cy="3628314"/>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D473D0" w:rsidRDefault="00D473D0" w:rsidP="00D473D0">
      <w:pPr>
        <w:pStyle w:val="Caption"/>
      </w:pPr>
      <w:bookmarkStart w:id="185" w:name="_Ref325563161"/>
      <w:bookmarkStart w:id="186" w:name="_Toc338703859"/>
      <w:proofErr w:type="gramStart"/>
      <w:r>
        <w:t xml:space="preserve">Figure </w:t>
      </w:r>
      <w:fldSimple w:instr=" SEQ Figure \* ARABIC ">
        <w:r w:rsidR="00A02D22">
          <w:rPr>
            <w:noProof/>
          </w:rPr>
          <w:t>79</w:t>
        </w:r>
      </w:fldSimple>
      <w:bookmarkEnd w:id="185"/>
      <w:r>
        <w:t>.</w:t>
      </w:r>
      <w:proofErr w:type="gramEnd"/>
      <w:r>
        <w:t xml:space="preserve"> Current wellpad network on CLFN </w:t>
      </w:r>
      <w:r w:rsidR="004C53F9">
        <w:t>SA</w:t>
      </w:r>
      <w:r>
        <w:t>.</w:t>
      </w:r>
      <w:bookmarkEnd w:id="186"/>
    </w:p>
    <w:p w:rsidR="00D473D0" w:rsidRDefault="00D473D0" w:rsidP="00C467D3">
      <w:pPr>
        <w:pStyle w:val="BodyText"/>
        <w:keepNext/>
        <w:spacing w:after="0"/>
      </w:pPr>
      <w:r>
        <w:rPr>
          <w:noProof/>
          <w:lang w:val="en-US"/>
        </w:rPr>
        <w:lastRenderedPageBreak/>
        <w:drawing>
          <wp:inline distT="0" distB="0" distL="0" distR="0">
            <wp:extent cx="4672475" cy="3523506"/>
            <wp:effectExtent l="19050" t="19050" r="13825" b="19794"/>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92" cstate="print"/>
                    <a:srcRect/>
                    <a:stretch>
                      <a:fillRect/>
                    </a:stretch>
                  </pic:blipFill>
                  <pic:spPr bwMode="auto">
                    <a:xfrm>
                      <a:off x="0" y="0"/>
                      <a:ext cx="4678015" cy="3527684"/>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D473D0" w:rsidRDefault="00D473D0" w:rsidP="00D473D0">
      <w:pPr>
        <w:pStyle w:val="Caption"/>
      </w:pPr>
      <w:bookmarkStart w:id="187" w:name="_Ref325563173"/>
      <w:bookmarkStart w:id="188" w:name="_Toc338703860"/>
      <w:proofErr w:type="gramStart"/>
      <w:r>
        <w:t xml:space="preserve">Figure </w:t>
      </w:r>
      <w:fldSimple w:instr=" SEQ Figure \* ARABIC ">
        <w:r w:rsidR="00A02D22">
          <w:rPr>
            <w:noProof/>
          </w:rPr>
          <w:t>80</w:t>
        </w:r>
      </w:fldSimple>
      <w:bookmarkEnd w:id="187"/>
      <w:r>
        <w:t>.</w:t>
      </w:r>
      <w:proofErr w:type="gramEnd"/>
      <w:r>
        <w:t xml:space="preserve"> </w:t>
      </w:r>
      <w:r w:rsidRPr="00870F87">
        <w:t xml:space="preserve">Current </w:t>
      </w:r>
      <w:r>
        <w:t>pipeline</w:t>
      </w:r>
      <w:r w:rsidRPr="00870F87">
        <w:t xml:space="preserve"> network </w:t>
      </w:r>
      <w:r w:rsidR="004C53F9">
        <w:t>on CLFN SA</w:t>
      </w:r>
      <w:r w:rsidRPr="00870F87">
        <w:t>.</w:t>
      </w:r>
      <w:bookmarkEnd w:id="188"/>
    </w:p>
    <w:p w:rsidR="00C467D3" w:rsidRPr="00C467D3" w:rsidRDefault="00C467D3" w:rsidP="00C467D3">
      <w:pPr>
        <w:rPr>
          <w:lang w:eastAsia="en-CA"/>
        </w:rPr>
      </w:pPr>
    </w:p>
    <w:p w:rsidR="00AB7672" w:rsidRDefault="005945FB" w:rsidP="00AD45C3">
      <w:pPr>
        <w:pStyle w:val="BodyText"/>
        <w:keepNext/>
        <w:spacing w:after="0"/>
      </w:pPr>
      <w:r>
        <w:rPr>
          <w:noProof/>
          <w:lang w:val="en-US"/>
        </w:rPr>
        <w:drawing>
          <wp:inline distT="0" distB="0" distL="0" distR="0">
            <wp:extent cx="4756102" cy="3600000"/>
            <wp:effectExtent l="19050" t="19050" r="25448" b="1950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93" cstate="print"/>
                    <a:srcRect/>
                    <a:stretch>
                      <a:fillRect/>
                    </a:stretch>
                  </pic:blipFill>
                  <pic:spPr bwMode="auto">
                    <a:xfrm>
                      <a:off x="0" y="0"/>
                      <a:ext cx="4756102"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F43CF2" w:rsidRDefault="00AB7672" w:rsidP="00F43CF2">
      <w:pPr>
        <w:pStyle w:val="Caption"/>
      </w:pPr>
      <w:bookmarkStart w:id="189" w:name="_Ref325551316"/>
      <w:bookmarkStart w:id="190" w:name="_Toc338703861"/>
      <w:proofErr w:type="gramStart"/>
      <w:r>
        <w:t xml:space="preserve">Figure </w:t>
      </w:r>
      <w:fldSimple w:instr=" SEQ Figure \* ARABIC ">
        <w:r w:rsidR="00A02D22">
          <w:rPr>
            <w:noProof/>
          </w:rPr>
          <w:t>81</w:t>
        </w:r>
      </w:fldSimple>
      <w:bookmarkEnd w:id="189"/>
      <w:r w:rsidR="00F43CF2">
        <w:t>.</w:t>
      </w:r>
      <w:proofErr w:type="gramEnd"/>
      <w:r w:rsidR="00F43CF2">
        <w:t xml:space="preserve"> </w:t>
      </w:r>
      <w:proofErr w:type="gramStart"/>
      <w:r w:rsidR="00F43CF2">
        <w:t xml:space="preserve">CLFN </w:t>
      </w:r>
      <w:r w:rsidR="004C53F9">
        <w:t>SA</w:t>
      </w:r>
      <w:r w:rsidR="00F43CF2">
        <w:t xml:space="preserve"> in context of historical well footprint in Alberta.</w:t>
      </w:r>
      <w:proofErr w:type="gramEnd"/>
      <w:r w:rsidR="00F43CF2">
        <w:t xml:space="preserve"> Source: ERCB, 2011.</w:t>
      </w:r>
      <w:bookmarkEnd w:id="190"/>
    </w:p>
    <w:p w:rsidR="00171054" w:rsidRDefault="00171054" w:rsidP="00171054">
      <w:pPr>
        <w:rPr>
          <w:lang w:eastAsia="en-CA"/>
        </w:rPr>
      </w:pPr>
    </w:p>
    <w:p w:rsidR="00171054" w:rsidRDefault="00171054" w:rsidP="00171054">
      <w:pPr>
        <w:keepNext/>
      </w:pPr>
      <w:r>
        <w:rPr>
          <w:noProof/>
          <w:lang w:val="en-US"/>
        </w:rPr>
        <w:lastRenderedPageBreak/>
        <w:drawing>
          <wp:inline distT="0" distB="0" distL="0" distR="0">
            <wp:extent cx="4749528" cy="3600000"/>
            <wp:effectExtent l="19050" t="19050" r="12972" b="1950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94" cstate="print"/>
                    <a:srcRect/>
                    <a:stretch>
                      <a:fillRect/>
                    </a:stretch>
                  </pic:blipFill>
                  <pic:spPr bwMode="auto">
                    <a:xfrm>
                      <a:off x="0" y="0"/>
                      <a:ext cx="4749528"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171054" w:rsidRDefault="00171054" w:rsidP="00171054">
      <w:pPr>
        <w:pStyle w:val="Caption"/>
        <w:ind w:left="720" w:hanging="720"/>
      </w:pPr>
      <w:bookmarkStart w:id="191" w:name="_Ref326247626"/>
      <w:bookmarkStart w:id="192" w:name="_Toc338703862"/>
      <w:proofErr w:type="gramStart"/>
      <w:r>
        <w:t xml:space="preserve">Figure </w:t>
      </w:r>
      <w:fldSimple w:instr=" SEQ Figure \* ARABIC ">
        <w:r w:rsidR="00A02D22">
          <w:rPr>
            <w:noProof/>
          </w:rPr>
          <w:t>82</w:t>
        </w:r>
      </w:fldSimple>
      <w:bookmarkEnd w:id="191"/>
      <w:r>
        <w:t>.</w:t>
      </w:r>
      <w:proofErr w:type="gramEnd"/>
      <w:r>
        <w:t xml:space="preserve"> </w:t>
      </w:r>
      <w:proofErr w:type="gramStart"/>
      <w:r>
        <w:t>Time series (1910-2010) of well density in CLFN SA.</w:t>
      </w:r>
      <w:bookmarkEnd w:id="192"/>
      <w:proofErr w:type="gramEnd"/>
    </w:p>
    <w:p w:rsidR="00EC7476" w:rsidRPr="00EC7476" w:rsidRDefault="00EC7476" w:rsidP="00EC7476">
      <w:pPr>
        <w:rPr>
          <w:lang w:eastAsia="en-CA"/>
        </w:rPr>
      </w:pPr>
    </w:p>
    <w:p w:rsidR="00C24923" w:rsidRPr="00C24923" w:rsidRDefault="00C24923" w:rsidP="00AD45C3">
      <w:pPr>
        <w:keepNext/>
        <w:rPr>
          <w:lang w:eastAsia="en-CA"/>
        </w:rPr>
      </w:pPr>
      <w:r>
        <w:rPr>
          <w:noProof/>
          <w:lang w:val="en-US"/>
        </w:rPr>
        <w:drawing>
          <wp:inline distT="0" distB="0" distL="0" distR="0">
            <wp:extent cx="4755963" cy="3600000"/>
            <wp:effectExtent l="19050" t="19050" r="25587" b="19500"/>
            <wp:docPr id="79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5" cstate="print"/>
                    <a:srcRect/>
                    <a:stretch>
                      <a:fillRect/>
                    </a:stretch>
                  </pic:blipFill>
                  <pic:spPr bwMode="auto">
                    <a:xfrm>
                      <a:off x="0" y="0"/>
                      <a:ext cx="4755963"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C6313D" w:rsidRPr="00C6313D" w:rsidRDefault="00C6313D" w:rsidP="00C6313D">
      <w:pPr>
        <w:pStyle w:val="Caption"/>
      </w:pPr>
      <w:bookmarkStart w:id="193" w:name="_Ref325557741"/>
      <w:bookmarkStart w:id="194" w:name="_Toc338703863"/>
      <w:proofErr w:type="gramStart"/>
      <w:r>
        <w:t xml:space="preserve">Figure </w:t>
      </w:r>
      <w:fldSimple w:instr=" SEQ Figure \* ARABIC ">
        <w:r w:rsidR="00A02D22">
          <w:rPr>
            <w:noProof/>
          </w:rPr>
          <w:t>83</w:t>
        </w:r>
      </w:fldSimple>
      <w:bookmarkEnd w:id="193"/>
      <w:r>
        <w:t>.</w:t>
      </w:r>
      <w:proofErr w:type="gramEnd"/>
      <w:r>
        <w:t xml:space="preserve"> Ultimate Gas in Place in Alberta and in relation to the CLFN </w:t>
      </w:r>
      <w:r w:rsidR="004C53F9">
        <w:t>SA</w:t>
      </w:r>
      <w:r>
        <w:t>. Source: Alberta Energy and Utilities Board.</w:t>
      </w:r>
      <w:bookmarkEnd w:id="194"/>
    </w:p>
    <w:p w:rsidR="00423ADE" w:rsidRDefault="00423ADE" w:rsidP="00423ADE">
      <w:pPr>
        <w:pStyle w:val="Caption"/>
      </w:pPr>
    </w:p>
    <w:p w:rsidR="00B70B31" w:rsidRDefault="00B70B31" w:rsidP="00B70B31">
      <w:pPr>
        <w:keepNext/>
      </w:pPr>
      <w:r>
        <w:rPr>
          <w:noProof/>
          <w:lang w:val="en-US"/>
        </w:rPr>
        <w:lastRenderedPageBreak/>
        <w:drawing>
          <wp:inline distT="0" distB="0" distL="0" distR="0">
            <wp:extent cx="4778073" cy="3600000"/>
            <wp:effectExtent l="19050" t="19050" r="22527" b="19500"/>
            <wp:docPr id="81"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96" cstate="print"/>
                    <a:srcRect/>
                    <a:stretch>
                      <a:fillRect/>
                    </a:stretch>
                  </pic:blipFill>
                  <pic:spPr bwMode="auto">
                    <a:xfrm>
                      <a:off x="0" y="0"/>
                      <a:ext cx="4778073"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B70B31" w:rsidRDefault="00B70B31" w:rsidP="00B70B31">
      <w:pPr>
        <w:pStyle w:val="Caption"/>
      </w:pPr>
      <w:bookmarkStart w:id="195" w:name="_Ref325557788"/>
      <w:bookmarkStart w:id="196" w:name="_Toc338703864"/>
      <w:proofErr w:type="gramStart"/>
      <w:r>
        <w:t xml:space="preserve">Figure </w:t>
      </w:r>
      <w:fldSimple w:instr=" SEQ Figure \* ARABIC ">
        <w:r w:rsidR="00A02D22">
          <w:rPr>
            <w:noProof/>
          </w:rPr>
          <w:t>84</w:t>
        </w:r>
      </w:fldSimple>
      <w:bookmarkEnd w:id="195"/>
      <w:r w:rsidR="004C53F9">
        <w:t>.</w:t>
      </w:r>
      <w:proofErr w:type="gramEnd"/>
      <w:r w:rsidR="004C53F9">
        <w:t xml:space="preserve"> </w:t>
      </w:r>
      <w:proofErr w:type="gramStart"/>
      <w:r w:rsidR="004C53F9">
        <w:t>Various restrictions to n</w:t>
      </w:r>
      <w:r>
        <w:t xml:space="preserve">atural </w:t>
      </w:r>
      <w:r w:rsidR="004C53F9">
        <w:t>gas p</w:t>
      </w:r>
      <w:r>
        <w:t>roduction in region of CLFN</w:t>
      </w:r>
      <w:r w:rsidR="004C53F9">
        <w:t xml:space="preserve"> SA</w:t>
      </w:r>
      <w:r>
        <w:t>.</w:t>
      </w:r>
      <w:proofErr w:type="gramEnd"/>
      <w:r>
        <w:t xml:space="preserve"> Source: Alberta Energy.</w:t>
      </w:r>
      <w:bookmarkEnd w:id="196"/>
    </w:p>
    <w:p w:rsidR="00E77828" w:rsidRPr="00E77828" w:rsidRDefault="00E77828" w:rsidP="00E77828">
      <w:pPr>
        <w:rPr>
          <w:lang w:eastAsia="en-CA"/>
        </w:rPr>
      </w:pPr>
    </w:p>
    <w:p w:rsidR="00FA343F" w:rsidRPr="00FA343F" w:rsidRDefault="00FA343F" w:rsidP="00FA343F">
      <w:pPr>
        <w:pStyle w:val="Caption"/>
      </w:pPr>
    </w:p>
    <w:p w:rsidR="005C6B34" w:rsidRPr="00B33428" w:rsidRDefault="005C6B34" w:rsidP="00B33428">
      <w:pPr>
        <w:pStyle w:val="BodyText"/>
        <w:rPr>
          <w:lang w:val="en-US"/>
        </w:rPr>
      </w:pPr>
    </w:p>
    <w:p w:rsidR="00871C3E" w:rsidRDefault="00871C3E" w:rsidP="00871C3E">
      <w:pPr>
        <w:pStyle w:val="Heading2"/>
      </w:pPr>
      <w:bookmarkStart w:id="197" w:name="_Toc338703695"/>
      <w:r>
        <w:t>Transportation</w:t>
      </w:r>
      <w:bookmarkEnd w:id="197"/>
    </w:p>
    <w:p w:rsidR="00943EEC" w:rsidRDefault="00943EEC" w:rsidP="00C509F7">
      <w:pPr>
        <w:pStyle w:val="BodyText"/>
        <w:rPr>
          <w:lang w:val="en-US"/>
        </w:rPr>
      </w:pPr>
      <w:r>
        <w:rPr>
          <w:lang w:val="en-US"/>
        </w:rPr>
        <w:t xml:space="preserve">Transportation has changed much for </w:t>
      </w:r>
      <w:r w:rsidR="00C509F7">
        <w:rPr>
          <w:lang w:val="en-US"/>
        </w:rPr>
        <w:t xml:space="preserve">the peoples of </w:t>
      </w:r>
      <w:r>
        <w:rPr>
          <w:lang w:val="en-US"/>
        </w:rPr>
        <w:t xml:space="preserve">CLFN during the past 200 years. In the pre-European era, common modes </w:t>
      </w:r>
      <w:r w:rsidR="00C509F7">
        <w:rPr>
          <w:lang w:val="en-US"/>
        </w:rPr>
        <w:t>of travel</w:t>
      </w:r>
      <w:r>
        <w:rPr>
          <w:lang w:val="en-US"/>
        </w:rPr>
        <w:t xml:space="preserve"> included walking, snowshoeing, and canoeing. </w:t>
      </w:r>
      <w:r w:rsidR="005E2BCB">
        <w:rPr>
          <w:lang w:val="en-US"/>
        </w:rPr>
        <w:t>The rivers and lake shorelines would have been as important</w:t>
      </w:r>
      <w:r w:rsidR="007B0F40">
        <w:rPr>
          <w:lang w:val="en-US"/>
        </w:rPr>
        <w:t xml:space="preserve"> as</w:t>
      </w:r>
      <w:r w:rsidR="005E2BCB">
        <w:rPr>
          <w:lang w:val="en-US"/>
        </w:rPr>
        <w:t xml:space="preserve"> movement corridors 200 years ago as roads</w:t>
      </w:r>
      <w:r w:rsidR="007B0F40">
        <w:rPr>
          <w:lang w:val="en-US"/>
        </w:rPr>
        <w:t xml:space="preserve"> are</w:t>
      </w:r>
      <w:r w:rsidR="005E2BCB">
        <w:rPr>
          <w:lang w:val="en-US"/>
        </w:rPr>
        <w:t xml:space="preserve"> today. </w:t>
      </w:r>
      <w:r>
        <w:rPr>
          <w:lang w:val="en-US"/>
        </w:rPr>
        <w:t xml:space="preserve">Horses were not </w:t>
      </w:r>
      <w:r w:rsidR="005E2BCB">
        <w:rPr>
          <w:lang w:val="en-US"/>
        </w:rPr>
        <w:t>commonly used or owned by</w:t>
      </w:r>
      <w:r>
        <w:rPr>
          <w:lang w:val="en-US"/>
        </w:rPr>
        <w:t xml:space="preserve"> CLFN until the 19</w:t>
      </w:r>
      <w:r w:rsidR="00C509F7">
        <w:rPr>
          <w:lang w:val="en-US"/>
        </w:rPr>
        <w:t>30s</w:t>
      </w:r>
      <w:r w:rsidR="005E2BCB">
        <w:rPr>
          <w:lang w:val="en-US"/>
        </w:rPr>
        <w:t>. With the arrival of European settlements and agriculture came the conversion of major trail routes into roads</w:t>
      </w:r>
      <w:r w:rsidR="007B0F40">
        <w:rPr>
          <w:lang w:val="en-US"/>
        </w:rPr>
        <w:t>,</w:t>
      </w:r>
      <w:r w:rsidR="005E2BCB">
        <w:rPr>
          <w:lang w:val="en-US"/>
        </w:rPr>
        <w:t xml:space="preserve"> and eventually the construction of </w:t>
      </w:r>
      <w:r w:rsidR="006D27F0">
        <w:rPr>
          <w:lang w:val="en-US"/>
        </w:rPr>
        <w:t>a 2</w:t>
      </w:r>
      <w:r w:rsidR="005E2BCB">
        <w:rPr>
          <w:lang w:val="en-US"/>
        </w:rPr>
        <w:t xml:space="preserve"> x 1 mile road grid</w:t>
      </w:r>
      <w:r w:rsidR="00D229C5">
        <w:rPr>
          <w:lang w:val="en-US"/>
        </w:rPr>
        <w:t xml:space="preserve"> in the White A</w:t>
      </w:r>
      <w:r w:rsidR="005E2BCB">
        <w:rPr>
          <w:lang w:val="en-US"/>
        </w:rPr>
        <w:t xml:space="preserve">rea. This network was further expanded </w:t>
      </w:r>
      <w:r w:rsidR="00F665A5">
        <w:rPr>
          <w:lang w:val="en-US"/>
        </w:rPr>
        <w:t xml:space="preserve">by private and public roads </w:t>
      </w:r>
      <w:r w:rsidR="005E2BCB">
        <w:rPr>
          <w:lang w:val="en-US"/>
        </w:rPr>
        <w:t xml:space="preserve">to accommodate the </w:t>
      </w:r>
      <w:r w:rsidR="00C544DE">
        <w:rPr>
          <w:lang w:val="en-US"/>
        </w:rPr>
        <w:t>land-use</w:t>
      </w:r>
      <w:r w:rsidR="005E2BCB">
        <w:rPr>
          <w:lang w:val="en-US"/>
        </w:rPr>
        <w:t>s of parks, military, and rural residential.</w:t>
      </w:r>
    </w:p>
    <w:p w:rsidR="008B39BD" w:rsidRDefault="005E2BCB" w:rsidP="00D31308">
      <w:pPr>
        <w:pStyle w:val="BodyText"/>
        <w:rPr>
          <w:lang w:val="en-US"/>
        </w:rPr>
      </w:pPr>
      <w:r>
        <w:rPr>
          <w:lang w:val="en-US"/>
        </w:rPr>
        <w:t>During the first several decades following the arrival of Europeans, transportation networks and general “access” to the landscape would have increased by orders of magnitude. Distances that would have taken multiple days or week</w:t>
      </w:r>
      <w:r w:rsidR="00D229C5">
        <w:rPr>
          <w:lang w:val="en-US"/>
        </w:rPr>
        <w:t>s</w:t>
      </w:r>
      <w:r w:rsidR="008B39BD">
        <w:rPr>
          <w:lang w:val="en-US"/>
        </w:rPr>
        <w:t xml:space="preserve"> to transverse on foot, by </w:t>
      </w:r>
      <w:r w:rsidR="00056699">
        <w:rPr>
          <w:lang w:val="en-US"/>
        </w:rPr>
        <w:t xml:space="preserve">dog sled, </w:t>
      </w:r>
      <w:r>
        <w:rPr>
          <w:lang w:val="en-US"/>
        </w:rPr>
        <w:t xml:space="preserve">or </w:t>
      </w:r>
      <w:r w:rsidR="007B0F40">
        <w:rPr>
          <w:lang w:val="en-US"/>
        </w:rPr>
        <w:t>by</w:t>
      </w:r>
      <w:r>
        <w:rPr>
          <w:lang w:val="en-US"/>
        </w:rPr>
        <w:t xml:space="preserve"> canoe </w:t>
      </w:r>
      <w:r w:rsidR="00012E29">
        <w:rPr>
          <w:lang w:val="en-US"/>
        </w:rPr>
        <w:t xml:space="preserve">eventually </w:t>
      </w:r>
      <w:r>
        <w:rPr>
          <w:lang w:val="en-US"/>
        </w:rPr>
        <w:t>became accessible in</w:t>
      </w:r>
      <w:r w:rsidR="00D229C5">
        <w:rPr>
          <w:lang w:val="en-US"/>
        </w:rPr>
        <w:t xml:space="preserve"> a matter</w:t>
      </w:r>
      <w:r>
        <w:rPr>
          <w:lang w:val="en-US"/>
        </w:rPr>
        <w:t xml:space="preserve"> of hours </w:t>
      </w:r>
      <w:r w:rsidR="00D229C5">
        <w:rPr>
          <w:lang w:val="en-US"/>
        </w:rPr>
        <w:t>by</w:t>
      </w:r>
      <w:r>
        <w:rPr>
          <w:lang w:val="en-US"/>
        </w:rPr>
        <w:t xml:space="preserve"> </w:t>
      </w:r>
      <w:r w:rsidR="00D229C5">
        <w:rPr>
          <w:lang w:val="en-US"/>
        </w:rPr>
        <w:t xml:space="preserve">truck, car, </w:t>
      </w:r>
      <w:r w:rsidR="00F665A5">
        <w:rPr>
          <w:lang w:val="en-US"/>
        </w:rPr>
        <w:t xml:space="preserve">snowmobile, </w:t>
      </w:r>
      <w:r w:rsidR="00D229C5">
        <w:rPr>
          <w:lang w:val="en-US"/>
        </w:rPr>
        <w:t>and quad</w:t>
      </w:r>
      <w:r w:rsidR="00012E29">
        <w:rPr>
          <w:lang w:val="en-US"/>
        </w:rPr>
        <w:t xml:space="preserve"> for those CLFN members who had access to vehicles</w:t>
      </w:r>
      <w:r>
        <w:rPr>
          <w:lang w:val="en-US"/>
        </w:rPr>
        <w:t xml:space="preserve">. </w:t>
      </w:r>
      <w:r w:rsidR="00D229C5">
        <w:rPr>
          <w:lang w:val="en-US"/>
        </w:rPr>
        <w:t>Although</w:t>
      </w:r>
      <w:r>
        <w:rPr>
          <w:lang w:val="en-US"/>
        </w:rPr>
        <w:t xml:space="preserve"> the amount of time that CLFN were actually “living on the land” was </w:t>
      </w:r>
      <w:r w:rsidR="00012E29">
        <w:rPr>
          <w:lang w:val="en-US"/>
        </w:rPr>
        <w:t xml:space="preserve">slowly </w:t>
      </w:r>
      <w:r>
        <w:rPr>
          <w:lang w:val="en-US"/>
        </w:rPr>
        <w:t>declini</w:t>
      </w:r>
      <w:r w:rsidR="00F665A5">
        <w:rPr>
          <w:lang w:val="en-US"/>
        </w:rPr>
        <w:t>ng by the mid-</w:t>
      </w:r>
      <w:r w:rsidR="00871CBF">
        <w:rPr>
          <w:lang w:val="en-US"/>
        </w:rPr>
        <w:t xml:space="preserve">1900s, the community gained increased access efficiency by </w:t>
      </w:r>
      <w:r w:rsidR="00D229C5">
        <w:rPr>
          <w:lang w:val="en-US"/>
        </w:rPr>
        <w:t>using</w:t>
      </w:r>
      <w:r w:rsidR="00871CBF">
        <w:rPr>
          <w:lang w:val="en-US"/>
        </w:rPr>
        <w:t xml:space="preserve"> vehicles on a rapidly expanding network of roads</w:t>
      </w:r>
      <w:r w:rsidR="00012E29">
        <w:rPr>
          <w:lang w:val="en-US"/>
        </w:rPr>
        <w:t xml:space="preserve"> </w:t>
      </w:r>
      <w:r w:rsidR="006959DD">
        <w:rPr>
          <w:lang w:val="en-US"/>
        </w:rPr>
        <w:t>(</w:t>
      </w:r>
      <w:r w:rsidR="00575CA7">
        <w:rPr>
          <w:lang w:val="en-US"/>
        </w:rPr>
        <w:fldChar w:fldCharType="begin"/>
      </w:r>
      <w:r w:rsidR="006959DD">
        <w:rPr>
          <w:lang w:val="en-US"/>
        </w:rPr>
        <w:instrText xml:space="preserve"> REF _Ref326247894 \h </w:instrText>
      </w:r>
      <w:r w:rsidR="00575CA7">
        <w:rPr>
          <w:lang w:val="en-US"/>
        </w:rPr>
      </w:r>
      <w:r w:rsidR="00575CA7">
        <w:rPr>
          <w:lang w:val="en-US"/>
        </w:rPr>
        <w:fldChar w:fldCharType="separate"/>
      </w:r>
      <w:r w:rsidR="003648B8">
        <w:t xml:space="preserve">Figure </w:t>
      </w:r>
      <w:r w:rsidR="003648B8">
        <w:rPr>
          <w:noProof/>
        </w:rPr>
        <w:t>86</w:t>
      </w:r>
      <w:r w:rsidR="00575CA7">
        <w:rPr>
          <w:lang w:val="en-US"/>
        </w:rPr>
        <w:fldChar w:fldCharType="end"/>
      </w:r>
      <w:r w:rsidR="006959DD">
        <w:rPr>
          <w:lang w:val="en-US"/>
        </w:rPr>
        <w:t xml:space="preserve">) </w:t>
      </w:r>
      <w:r w:rsidR="00012E29">
        <w:rPr>
          <w:lang w:val="en-US"/>
        </w:rPr>
        <w:t>until the establishment of CLAWR abruptly terminated the p</w:t>
      </w:r>
      <w:r w:rsidR="00A1523B">
        <w:rPr>
          <w:lang w:val="en-US"/>
        </w:rPr>
        <w:t>e</w:t>
      </w:r>
      <w:r w:rsidR="00012E29">
        <w:rPr>
          <w:lang w:val="en-US"/>
        </w:rPr>
        <w:t xml:space="preserve">ople’s ability to access traditional trails and water routes throughout the Traditional Territory. In the decades </w:t>
      </w:r>
      <w:r w:rsidR="008B39BD">
        <w:rPr>
          <w:lang w:val="en-US"/>
        </w:rPr>
        <w:t>that followed</w:t>
      </w:r>
      <w:r w:rsidR="00012E29">
        <w:rPr>
          <w:lang w:val="en-US"/>
        </w:rPr>
        <w:t>, physical access to areas outside CLAWR generally increased with construction of seismic lines, access roads and pipelines</w:t>
      </w:r>
      <w:r w:rsidR="008B39BD">
        <w:rPr>
          <w:lang w:val="en-US"/>
        </w:rPr>
        <w:t>.</w:t>
      </w:r>
    </w:p>
    <w:p w:rsidR="008B39BD" w:rsidRDefault="008B39BD" w:rsidP="008B39BD">
      <w:pPr>
        <w:pStyle w:val="BodyText"/>
        <w:rPr>
          <w:lang w:val="en-US"/>
        </w:rPr>
      </w:pPr>
      <w:r>
        <w:rPr>
          <w:lang w:val="en-US"/>
        </w:rPr>
        <w:lastRenderedPageBreak/>
        <w:t xml:space="preserve">The changes to land accessibility have profoundly </w:t>
      </w:r>
      <w:r w:rsidR="00D87AE8">
        <w:rPr>
          <w:lang w:val="en-US"/>
        </w:rPr>
        <w:t>affected</w:t>
      </w:r>
      <w:r>
        <w:rPr>
          <w:lang w:val="en-US"/>
        </w:rPr>
        <w:t xml:space="preserve"> the </w:t>
      </w:r>
      <w:r w:rsidR="00D87AE8">
        <w:rPr>
          <w:lang w:val="en-US"/>
        </w:rPr>
        <w:t xml:space="preserve">mindset of the </w:t>
      </w:r>
      <w:r>
        <w:rPr>
          <w:lang w:val="en-US"/>
        </w:rPr>
        <w:t>CLFN community. To the younger generation, who has been raised with limited access to Traditional Territory, recent changes to land access have been incremental. To the elders however, who hold a collective memory and a strong cultural connection to previously accessible land, the changes they observed seemingly occurred overnight.</w:t>
      </w:r>
    </w:p>
    <w:p w:rsidR="005945FB" w:rsidRPr="005945FB" w:rsidRDefault="00D31308" w:rsidP="005945FB">
      <w:pPr>
        <w:pStyle w:val="Caption"/>
        <w:rPr>
          <w:b w:val="0"/>
          <w:sz w:val="24"/>
          <w:lang w:val="en-US"/>
        </w:rPr>
      </w:pPr>
      <w:r w:rsidRPr="005945FB">
        <w:rPr>
          <w:b w:val="0"/>
          <w:sz w:val="24"/>
          <w:lang w:val="en-US"/>
        </w:rPr>
        <w:t xml:space="preserve">The </w:t>
      </w:r>
      <w:r w:rsidR="007920FE" w:rsidRPr="005945FB">
        <w:rPr>
          <w:b w:val="0"/>
          <w:sz w:val="24"/>
          <w:lang w:val="en-US"/>
        </w:rPr>
        <w:t xml:space="preserve">current </w:t>
      </w:r>
      <w:r w:rsidRPr="005945FB">
        <w:rPr>
          <w:b w:val="0"/>
          <w:sz w:val="24"/>
          <w:lang w:val="en-US"/>
        </w:rPr>
        <w:t xml:space="preserve">road network </w:t>
      </w:r>
      <w:r w:rsidR="00943EEC" w:rsidRPr="005945FB">
        <w:rPr>
          <w:b w:val="0"/>
          <w:sz w:val="24"/>
          <w:lang w:val="en-US"/>
        </w:rPr>
        <w:t xml:space="preserve">of CLFN </w:t>
      </w:r>
      <w:r w:rsidR="009D3A15" w:rsidRPr="005945FB">
        <w:rPr>
          <w:b w:val="0"/>
          <w:sz w:val="24"/>
          <w:lang w:val="en-US"/>
        </w:rPr>
        <w:t xml:space="preserve">(6,600 ha, 3,600 km) </w:t>
      </w:r>
      <w:r w:rsidRPr="005945FB">
        <w:rPr>
          <w:b w:val="0"/>
          <w:sz w:val="24"/>
          <w:lang w:val="en-US"/>
        </w:rPr>
        <w:t xml:space="preserve">is well established in the </w:t>
      </w:r>
      <w:r w:rsidR="00D229C5" w:rsidRPr="005945FB">
        <w:rPr>
          <w:b w:val="0"/>
          <w:sz w:val="24"/>
          <w:lang w:val="en-US"/>
        </w:rPr>
        <w:t>White A</w:t>
      </w:r>
      <w:r w:rsidR="00943EEC" w:rsidRPr="005945FB">
        <w:rPr>
          <w:b w:val="0"/>
          <w:sz w:val="24"/>
          <w:lang w:val="en-US"/>
        </w:rPr>
        <w:t>rea</w:t>
      </w:r>
      <w:r w:rsidR="00D229C5" w:rsidRPr="005945FB">
        <w:rPr>
          <w:b w:val="0"/>
          <w:sz w:val="24"/>
          <w:lang w:val="en-US"/>
        </w:rPr>
        <w:t>,</w:t>
      </w:r>
      <w:r w:rsidR="00943EEC" w:rsidRPr="005945FB">
        <w:rPr>
          <w:b w:val="0"/>
          <w:sz w:val="24"/>
          <w:lang w:val="en-US"/>
        </w:rPr>
        <w:t xml:space="preserve"> </w:t>
      </w:r>
      <w:r w:rsidRPr="005945FB">
        <w:rPr>
          <w:b w:val="0"/>
          <w:sz w:val="24"/>
          <w:lang w:val="en-US"/>
        </w:rPr>
        <w:t xml:space="preserve">and </w:t>
      </w:r>
      <w:r w:rsidR="009D3A15" w:rsidRPr="005945FB">
        <w:rPr>
          <w:b w:val="0"/>
          <w:sz w:val="24"/>
          <w:lang w:val="en-US"/>
        </w:rPr>
        <w:t xml:space="preserve">is </w:t>
      </w:r>
      <w:r w:rsidRPr="005945FB">
        <w:rPr>
          <w:b w:val="0"/>
          <w:sz w:val="24"/>
          <w:lang w:val="en-US"/>
        </w:rPr>
        <w:t>spar</w:t>
      </w:r>
      <w:r w:rsidR="009D3A15" w:rsidRPr="005945FB">
        <w:rPr>
          <w:b w:val="0"/>
          <w:sz w:val="24"/>
          <w:lang w:val="en-US"/>
        </w:rPr>
        <w:t>s</w:t>
      </w:r>
      <w:r w:rsidRPr="005945FB">
        <w:rPr>
          <w:b w:val="0"/>
          <w:sz w:val="24"/>
          <w:lang w:val="en-US"/>
        </w:rPr>
        <w:t>e in the central and northern reaches</w:t>
      </w:r>
      <w:r w:rsidR="00943EEC" w:rsidRPr="005945FB">
        <w:rPr>
          <w:b w:val="0"/>
          <w:sz w:val="24"/>
          <w:lang w:val="en-US"/>
        </w:rPr>
        <w:t xml:space="preserve"> (</w:t>
      </w:r>
      <w:fldSimple w:instr=" REF _Ref325564391 \h  \* MERGEFORMAT ">
        <w:r w:rsidR="003648B8" w:rsidRPr="003648B8">
          <w:rPr>
            <w:b w:val="0"/>
            <w:sz w:val="24"/>
          </w:rPr>
          <w:t xml:space="preserve">Figure </w:t>
        </w:r>
        <w:r w:rsidR="003648B8" w:rsidRPr="003648B8">
          <w:rPr>
            <w:b w:val="0"/>
            <w:noProof/>
            <w:sz w:val="24"/>
          </w:rPr>
          <w:t>87</w:t>
        </w:r>
      </w:fldSimple>
      <w:r w:rsidR="00943EEC" w:rsidRPr="005945FB">
        <w:rPr>
          <w:b w:val="0"/>
          <w:sz w:val="24"/>
          <w:lang w:val="en-US"/>
        </w:rPr>
        <w:t>)</w:t>
      </w:r>
      <w:r w:rsidRPr="005945FB">
        <w:rPr>
          <w:b w:val="0"/>
          <w:sz w:val="24"/>
          <w:lang w:val="en-US"/>
        </w:rPr>
        <w:t xml:space="preserve">. </w:t>
      </w:r>
      <w:r w:rsidR="009D3A15" w:rsidRPr="005945FB">
        <w:rPr>
          <w:b w:val="0"/>
          <w:sz w:val="24"/>
          <w:lang w:val="en-US"/>
        </w:rPr>
        <w:t xml:space="preserve"> </w:t>
      </w:r>
      <w:r w:rsidR="00943EEC" w:rsidRPr="005945FB">
        <w:rPr>
          <w:b w:val="0"/>
          <w:sz w:val="24"/>
          <w:lang w:val="en-US"/>
        </w:rPr>
        <w:t>Roads</w:t>
      </w:r>
      <w:r w:rsidR="009D3A15" w:rsidRPr="005945FB">
        <w:rPr>
          <w:b w:val="0"/>
          <w:sz w:val="24"/>
          <w:lang w:val="en-US"/>
        </w:rPr>
        <w:t xml:space="preserve"> within CLAWR provide acces</w:t>
      </w:r>
      <w:r w:rsidR="00C509F7" w:rsidRPr="005945FB">
        <w:rPr>
          <w:b w:val="0"/>
          <w:sz w:val="24"/>
          <w:lang w:val="en-US"/>
        </w:rPr>
        <w:t>s to the infrastructure of the military community and h</w:t>
      </w:r>
      <w:r w:rsidR="009D3A15" w:rsidRPr="005945FB">
        <w:rPr>
          <w:b w:val="0"/>
          <w:sz w:val="24"/>
          <w:lang w:val="en-US"/>
        </w:rPr>
        <w:t>ydrocarbon sector</w:t>
      </w:r>
      <w:r w:rsidR="00D229C5" w:rsidRPr="005945FB">
        <w:rPr>
          <w:b w:val="0"/>
          <w:sz w:val="24"/>
          <w:lang w:val="en-US"/>
        </w:rPr>
        <w:t>,</w:t>
      </w:r>
      <w:r w:rsidR="007920FE" w:rsidRPr="005945FB">
        <w:rPr>
          <w:b w:val="0"/>
          <w:sz w:val="24"/>
          <w:lang w:val="en-US"/>
        </w:rPr>
        <w:t xml:space="preserve"> but </w:t>
      </w:r>
      <w:r w:rsidR="008B39BD">
        <w:rPr>
          <w:b w:val="0"/>
          <w:sz w:val="24"/>
          <w:lang w:val="en-US"/>
        </w:rPr>
        <w:t>remain</w:t>
      </w:r>
      <w:r w:rsidR="007920FE" w:rsidRPr="005945FB">
        <w:rPr>
          <w:b w:val="0"/>
          <w:sz w:val="24"/>
          <w:lang w:val="en-US"/>
        </w:rPr>
        <w:t xml:space="preserve"> largely </w:t>
      </w:r>
      <w:r w:rsidR="00CC3DEB" w:rsidRPr="005945FB">
        <w:rPr>
          <w:b w:val="0"/>
          <w:sz w:val="24"/>
          <w:lang w:val="en-US"/>
        </w:rPr>
        <w:t>inaccessible</w:t>
      </w:r>
      <w:r w:rsidR="007920FE" w:rsidRPr="005945FB">
        <w:rPr>
          <w:b w:val="0"/>
          <w:sz w:val="24"/>
          <w:lang w:val="en-US"/>
        </w:rPr>
        <w:t xml:space="preserve"> to CLFN.</w:t>
      </w:r>
      <w:r w:rsidR="00F665A5" w:rsidRPr="005945FB">
        <w:rPr>
          <w:b w:val="0"/>
          <w:sz w:val="24"/>
          <w:lang w:val="en-US"/>
        </w:rPr>
        <w:t xml:space="preserve"> </w:t>
      </w:r>
      <w:r w:rsidRPr="005945FB">
        <w:rPr>
          <w:b w:val="0"/>
          <w:sz w:val="24"/>
          <w:lang w:val="en-US"/>
        </w:rPr>
        <w:t>The history</w:t>
      </w:r>
      <w:r w:rsidR="0044101A">
        <w:rPr>
          <w:b w:val="0"/>
          <w:sz w:val="24"/>
          <w:lang w:val="en-US"/>
        </w:rPr>
        <w:t xml:space="preserve"> of road construction in the </w:t>
      </w:r>
      <w:r w:rsidRPr="005945FB">
        <w:rPr>
          <w:b w:val="0"/>
          <w:sz w:val="24"/>
          <w:lang w:val="en-US"/>
        </w:rPr>
        <w:t xml:space="preserve">CLFN </w:t>
      </w:r>
      <w:r w:rsidR="0044101A">
        <w:rPr>
          <w:b w:val="0"/>
          <w:sz w:val="24"/>
          <w:lang w:val="en-US"/>
        </w:rPr>
        <w:t xml:space="preserve">SA </w:t>
      </w:r>
      <w:r w:rsidRPr="005945FB">
        <w:rPr>
          <w:b w:val="0"/>
          <w:sz w:val="24"/>
          <w:lang w:val="en-US"/>
        </w:rPr>
        <w:t xml:space="preserve">is placed within context of the Province of Alberta in </w:t>
      </w:r>
      <w:fldSimple w:instr=" REF _Ref325564108 \h  \* MERGEFORMAT ">
        <w:r w:rsidR="003648B8" w:rsidRPr="003648B8">
          <w:rPr>
            <w:b w:val="0"/>
            <w:sz w:val="24"/>
          </w:rPr>
          <w:t xml:space="preserve">Figure </w:t>
        </w:r>
        <w:r w:rsidR="003648B8" w:rsidRPr="003648B8">
          <w:rPr>
            <w:b w:val="0"/>
            <w:noProof/>
            <w:sz w:val="24"/>
          </w:rPr>
          <w:t>88</w:t>
        </w:r>
      </w:fldSimple>
      <w:r w:rsidR="009D3A15" w:rsidRPr="005945FB">
        <w:rPr>
          <w:b w:val="0"/>
          <w:sz w:val="24"/>
          <w:lang w:val="en-US"/>
        </w:rPr>
        <w:t>.</w:t>
      </w:r>
    </w:p>
    <w:p w:rsidR="00D31308" w:rsidRPr="005945FB" w:rsidRDefault="009D3A15" w:rsidP="005945FB">
      <w:pPr>
        <w:pStyle w:val="Caption"/>
        <w:rPr>
          <w:b w:val="0"/>
          <w:sz w:val="24"/>
        </w:rPr>
      </w:pPr>
      <w:r w:rsidRPr="005945FB">
        <w:rPr>
          <w:b w:val="0"/>
          <w:sz w:val="24"/>
          <w:lang w:val="en-US"/>
        </w:rPr>
        <w:t xml:space="preserve"> </w:t>
      </w:r>
    </w:p>
    <w:p w:rsidR="00FC4583" w:rsidRDefault="00FC4583" w:rsidP="00D31308">
      <w:pPr>
        <w:pStyle w:val="BodyText"/>
        <w:rPr>
          <w:lang w:val="en-US"/>
        </w:rPr>
      </w:pPr>
      <w:r>
        <w:rPr>
          <w:lang w:val="en-US"/>
        </w:rPr>
        <w:t xml:space="preserve">Transportation networks and access are inextricably linked. The more </w:t>
      </w:r>
      <w:r w:rsidR="00D229C5">
        <w:rPr>
          <w:lang w:val="en-US"/>
        </w:rPr>
        <w:t xml:space="preserve">abundant </w:t>
      </w:r>
      <w:r>
        <w:rPr>
          <w:lang w:val="en-US"/>
        </w:rPr>
        <w:t>linear features</w:t>
      </w:r>
      <w:r w:rsidR="00D229C5">
        <w:rPr>
          <w:lang w:val="en-US"/>
        </w:rPr>
        <w:t xml:space="preserve"> </w:t>
      </w:r>
      <w:r>
        <w:rPr>
          <w:lang w:val="en-US"/>
        </w:rPr>
        <w:t xml:space="preserve">(roads, trails, transmission lines, pipelines) </w:t>
      </w:r>
      <w:r w:rsidR="00F665A5">
        <w:rPr>
          <w:lang w:val="en-US"/>
        </w:rPr>
        <w:t xml:space="preserve">are </w:t>
      </w:r>
      <w:r>
        <w:rPr>
          <w:lang w:val="en-US"/>
        </w:rPr>
        <w:t xml:space="preserve">on the landscape, the easier it becomes for people </w:t>
      </w:r>
      <w:r w:rsidR="00A1523B">
        <w:rPr>
          <w:lang w:val="en-US"/>
        </w:rPr>
        <w:t xml:space="preserve">with vehicles </w:t>
      </w:r>
      <w:r>
        <w:rPr>
          <w:lang w:val="en-US"/>
        </w:rPr>
        <w:t xml:space="preserve">(aboriginal, non-aboriginal) to move across the landscape and </w:t>
      </w:r>
      <w:r w:rsidR="00C509F7">
        <w:rPr>
          <w:lang w:val="en-US"/>
        </w:rPr>
        <w:t>gain</w:t>
      </w:r>
      <w:r>
        <w:rPr>
          <w:lang w:val="en-US"/>
        </w:rPr>
        <w:t xml:space="preserve"> access to wildlife that can be hunted, trapped, </w:t>
      </w:r>
      <w:r w:rsidR="00C509F7">
        <w:rPr>
          <w:lang w:val="en-US"/>
        </w:rPr>
        <w:t xml:space="preserve">or </w:t>
      </w:r>
      <w:r>
        <w:rPr>
          <w:lang w:val="en-US"/>
        </w:rPr>
        <w:t>fished. It is not surprising, therefore, that research projects repeatedly demonstrate the negative relationship between access density (km/km</w:t>
      </w:r>
      <w:r w:rsidRPr="00C509F7">
        <w:rPr>
          <w:vertAlign w:val="superscript"/>
          <w:lang w:val="en-US"/>
        </w:rPr>
        <w:t>2</w:t>
      </w:r>
      <w:r>
        <w:rPr>
          <w:lang w:val="en-US"/>
        </w:rPr>
        <w:t xml:space="preserve">) and abundance of </w:t>
      </w:r>
      <w:r w:rsidR="00F665A5">
        <w:rPr>
          <w:lang w:val="en-US"/>
        </w:rPr>
        <w:t>harvested</w:t>
      </w:r>
      <w:r>
        <w:rPr>
          <w:lang w:val="en-US"/>
        </w:rPr>
        <w:t xml:space="preserve"> ungulate (moose), fish (grayling, walleye), and furbearer(fisher, marten) species.</w:t>
      </w:r>
      <w:r w:rsidR="00C509F7">
        <w:rPr>
          <w:lang w:val="en-US"/>
        </w:rPr>
        <w:t xml:space="preserve"> Avid outdoorsmen </w:t>
      </w:r>
      <w:r>
        <w:rPr>
          <w:lang w:val="en-US"/>
        </w:rPr>
        <w:t>relish o</w:t>
      </w:r>
      <w:r w:rsidR="00C509F7">
        <w:rPr>
          <w:lang w:val="en-US"/>
        </w:rPr>
        <w:t>pportunities</w:t>
      </w:r>
      <w:r>
        <w:rPr>
          <w:lang w:val="en-US"/>
        </w:rPr>
        <w:t xml:space="preserve"> to travel along newly created roads, </w:t>
      </w:r>
      <w:r w:rsidR="00C509F7">
        <w:rPr>
          <w:lang w:val="en-US"/>
        </w:rPr>
        <w:t>seismic lines, or pipelines</w:t>
      </w:r>
      <w:r w:rsidR="00F665A5">
        <w:rPr>
          <w:lang w:val="en-US"/>
        </w:rPr>
        <w:t>,</w:t>
      </w:r>
      <w:r w:rsidR="00C509F7">
        <w:rPr>
          <w:lang w:val="en-US"/>
        </w:rPr>
        <w:t xml:space="preserve"> as </w:t>
      </w:r>
      <w:r>
        <w:rPr>
          <w:lang w:val="en-US"/>
        </w:rPr>
        <w:t xml:space="preserve">these new features provide </w:t>
      </w:r>
      <w:r w:rsidR="00F665A5">
        <w:rPr>
          <w:lang w:val="en-US"/>
        </w:rPr>
        <w:t>entrance</w:t>
      </w:r>
      <w:r>
        <w:rPr>
          <w:lang w:val="en-US"/>
        </w:rPr>
        <w:t xml:space="preserve"> into wildlife habitat that is relatively unexploited</w:t>
      </w:r>
      <w:r w:rsidR="00F665A5">
        <w:rPr>
          <w:lang w:val="en-US"/>
        </w:rPr>
        <w:t>,</w:t>
      </w:r>
      <w:r>
        <w:rPr>
          <w:lang w:val="en-US"/>
        </w:rPr>
        <w:t xml:space="preserve"> and provide</w:t>
      </w:r>
      <w:r w:rsidR="00F665A5">
        <w:rPr>
          <w:lang w:val="en-US"/>
        </w:rPr>
        <w:t>s</w:t>
      </w:r>
      <w:r>
        <w:rPr>
          <w:lang w:val="en-US"/>
        </w:rPr>
        <w:t xml:space="preserve"> wonderful, if not short-lived</w:t>
      </w:r>
      <w:r w:rsidR="00F665A5">
        <w:rPr>
          <w:lang w:val="en-US"/>
        </w:rPr>
        <w:t>,</w:t>
      </w:r>
      <w:r>
        <w:rPr>
          <w:lang w:val="en-US"/>
        </w:rPr>
        <w:t xml:space="preserve"> experi</w:t>
      </w:r>
      <w:r w:rsidR="00C509F7">
        <w:rPr>
          <w:lang w:val="en-US"/>
        </w:rPr>
        <w:t xml:space="preserve">ences of hunting, fishing, and </w:t>
      </w:r>
      <w:r w:rsidR="006959DD">
        <w:rPr>
          <w:lang w:val="en-US"/>
        </w:rPr>
        <w:t>trapping (</w:t>
      </w:r>
      <w:r w:rsidR="00575CA7">
        <w:rPr>
          <w:lang w:val="en-US"/>
        </w:rPr>
        <w:fldChar w:fldCharType="begin"/>
      </w:r>
      <w:r w:rsidR="006959DD">
        <w:rPr>
          <w:lang w:val="en-US"/>
        </w:rPr>
        <w:instrText xml:space="preserve"> REF _Ref326248047 \h </w:instrText>
      </w:r>
      <w:r w:rsidR="00575CA7">
        <w:rPr>
          <w:lang w:val="en-US"/>
        </w:rPr>
      </w:r>
      <w:r w:rsidR="00575CA7">
        <w:rPr>
          <w:lang w:val="en-US"/>
        </w:rPr>
        <w:fldChar w:fldCharType="separate"/>
      </w:r>
      <w:r w:rsidR="003648B8">
        <w:t xml:space="preserve">Figure </w:t>
      </w:r>
      <w:r w:rsidR="003648B8">
        <w:rPr>
          <w:noProof/>
        </w:rPr>
        <w:t>89</w:t>
      </w:r>
      <w:r w:rsidR="00575CA7">
        <w:rPr>
          <w:lang w:val="en-US"/>
        </w:rPr>
        <w:fldChar w:fldCharType="end"/>
      </w:r>
      <w:r w:rsidR="006959DD">
        <w:rPr>
          <w:lang w:val="en-US"/>
        </w:rPr>
        <w:t>).</w:t>
      </w:r>
    </w:p>
    <w:p w:rsidR="00C509F7" w:rsidRDefault="00C509F7" w:rsidP="00D31308">
      <w:pPr>
        <w:pStyle w:val="BodyText"/>
        <w:rPr>
          <w:lang w:val="en-US"/>
        </w:rPr>
      </w:pPr>
      <w:r>
        <w:rPr>
          <w:lang w:val="en-US"/>
        </w:rPr>
        <w:t>What is clear to all contemporary and traditional wildlife stewards is that fi</w:t>
      </w:r>
      <w:r w:rsidR="00F665A5">
        <w:rPr>
          <w:lang w:val="en-US"/>
        </w:rPr>
        <w:t>sh and wildlife populations can</w:t>
      </w:r>
      <w:r>
        <w:rPr>
          <w:lang w:val="en-US"/>
        </w:rPr>
        <w:t xml:space="preserve">not be sustained where transportation features are abundant and harvest is not carefully regulated. Lots of roads and unhindered hunting and trapping </w:t>
      </w:r>
      <w:r w:rsidR="006D27F0">
        <w:rPr>
          <w:lang w:val="en-US"/>
        </w:rPr>
        <w:t>are</w:t>
      </w:r>
      <w:r>
        <w:rPr>
          <w:lang w:val="en-US"/>
        </w:rPr>
        <w:t xml:space="preserve"> clearly a recipe for collapse of local and regional populations of species that that attract hunters, fishers, and trappers.</w:t>
      </w:r>
      <w:r w:rsidR="00FF26EB">
        <w:rPr>
          <w:lang w:val="en-US"/>
        </w:rPr>
        <w:t xml:space="preserve"> Where fish and wildlife resources are inadequate to sustain both aboriginal and non-abori</w:t>
      </w:r>
      <w:r w:rsidR="009A7EE0">
        <w:rPr>
          <w:lang w:val="en-US"/>
        </w:rPr>
        <w:t xml:space="preserve">ginal stakeholders, the statutes </w:t>
      </w:r>
      <w:r w:rsidR="00FF26EB">
        <w:rPr>
          <w:lang w:val="en-US"/>
        </w:rPr>
        <w:t xml:space="preserve">are clear and First Nations are to be given priority. That said, an abundance of harvesters, roads, </w:t>
      </w:r>
      <w:r w:rsidR="00A95726">
        <w:rPr>
          <w:lang w:val="en-US"/>
        </w:rPr>
        <w:t xml:space="preserve">and </w:t>
      </w:r>
      <w:r w:rsidR="00FF26EB">
        <w:rPr>
          <w:lang w:val="en-US"/>
        </w:rPr>
        <w:t>unlimited and unregulated harvest</w:t>
      </w:r>
      <w:r w:rsidR="008B39BD">
        <w:rPr>
          <w:lang w:val="en-US"/>
        </w:rPr>
        <w:t xml:space="preserve">, has also </w:t>
      </w:r>
      <w:r w:rsidR="00202A19">
        <w:rPr>
          <w:lang w:val="en-US"/>
        </w:rPr>
        <w:t xml:space="preserve">lead to </w:t>
      </w:r>
      <w:r w:rsidR="00A95726">
        <w:rPr>
          <w:lang w:val="en-US"/>
        </w:rPr>
        <w:t xml:space="preserve">the </w:t>
      </w:r>
      <w:r w:rsidR="00202A19">
        <w:rPr>
          <w:lang w:val="en-US"/>
        </w:rPr>
        <w:t xml:space="preserve">undesired conclusion </w:t>
      </w:r>
      <w:r w:rsidR="00FF26EB">
        <w:rPr>
          <w:lang w:val="en-US"/>
        </w:rPr>
        <w:t xml:space="preserve">of resource collapse. </w:t>
      </w:r>
      <w:r w:rsidR="008B39BD">
        <w:rPr>
          <w:lang w:val="en-US"/>
        </w:rPr>
        <w:t xml:space="preserve">It is therefore clear </w:t>
      </w:r>
      <w:r w:rsidR="00FF26EB">
        <w:rPr>
          <w:lang w:val="en-US"/>
        </w:rPr>
        <w:t>that the conversation about access management is a critical one for both aboriginal and non-aboriginal communities alike.</w:t>
      </w:r>
    </w:p>
    <w:p w:rsidR="00C509F7" w:rsidRDefault="00C509F7" w:rsidP="00D31308">
      <w:pPr>
        <w:pStyle w:val="BodyText"/>
        <w:rPr>
          <w:lang w:val="en-US"/>
        </w:rPr>
      </w:pPr>
    </w:p>
    <w:p w:rsidR="00E77828" w:rsidRDefault="00E77828" w:rsidP="00D31308">
      <w:pPr>
        <w:pStyle w:val="BodyText"/>
        <w:rPr>
          <w:lang w:val="en-US"/>
        </w:rPr>
      </w:pPr>
    </w:p>
    <w:p w:rsidR="00E77828" w:rsidRDefault="00E77828" w:rsidP="00D31308">
      <w:pPr>
        <w:pStyle w:val="BodyText"/>
        <w:rPr>
          <w:lang w:val="en-US"/>
        </w:rPr>
      </w:pPr>
    </w:p>
    <w:p w:rsidR="00E77828" w:rsidRDefault="00E77828" w:rsidP="00D31308">
      <w:pPr>
        <w:pStyle w:val="BodyText"/>
        <w:rPr>
          <w:lang w:val="en-US"/>
        </w:rPr>
      </w:pPr>
    </w:p>
    <w:p w:rsidR="00E77828" w:rsidRDefault="00E77828" w:rsidP="00D31308">
      <w:pPr>
        <w:pStyle w:val="BodyText"/>
        <w:rPr>
          <w:lang w:val="en-US"/>
        </w:rPr>
      </w:pPr>
    </w:p>
    <w:p w:rsidR="00E77828" w:rsidRDefault="00E77828" w:rsidP="00D31308">
      <w:pPr>
        <w:pStyle w:val="BodyText"/>
        <w:rPr>
          <w:lang w:val="en-US"/>
        </w:rPr>
      </w:pPr>
    </w:p>
    <w:p w:rsidR="00E77828" w:rsidRDefault="00E77828" w:rsidP="00D31308">
      <w:pPr>
        <w:pStyle w:val="BodyText"/>
        <w:rPr>
          <w:lang w:val="en-US"/>
        </w:rPr>
      </w:pPr>
    </w:p>
    <w:p w:rsidR="00943EEC" w:rsidRDefault="00D31308" w:rsidP="00AD45C3">
      <w:pPr>
        <w:pStyle w:val="BodyText"/>
        <w:keepNext/>
        <w:spacing w:after="0"/>
      </w:pPr>
      <w:r>
        <w:rPr>
          <w:noProof/>
          <w:lang w:val="en-US"/>
        </w:rPr>
        <w:lastRenderedPageBreak/>
        <w:drawing>
          <wp:inline distT="0" distB="0" distL="0" distR="0">
            <wp:extent cx="4629685" cy="3481754"/>
            <wp:effectExtent l="19050" t="19050" r="18515" b="23446"/>
            <wp:docPr id="86"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97" cstate="print"/>
                    <a:srcRect/>
                    <a:stretch>
                      <a:fillRect/>
                    </a:stretch>
                  </pic:blipFill>
                  <pic:spPr bwMode="auto">
                    <a:xfrm>
                      <a:off x="0" y="0"/>
                      <a:ext cx="4695093" cy="3530944"/>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D31308" w:rsidRDefault="00943EEC" w:rsidP="00943EEC">
      <w:pPr>
        <w:pStyle w:val="Caption"/>
      </w:pPr>
      <w:bookmarkStart w:id="198" w:name="_Ref326247894"/>
      <w:bookmarkStart w:id="199" w:name="_Toc338703865"/>
      <w:r>
        <w:t xml:space="preserve">Figure </w:t>
      </w:r>
      <w:fldSimple w:instr=" SEQ Figure \* ARABIC ">
        <w:r w:rsidR="00A02D22">
          <w:rPr>
            <w:noProof/>
          </w:rPr>
          <w:t>86</w:t>
        </w:r>
      </w:fldSimple>
      <w:bookmarkEnd w:id="198"/>
      <w:r>
        <w:t>. Roads provide access to the lands</w:t>
      </w:r>
      <w:r w:rsidR="00836B4C">
        <w:t>cape but also provide challenges</w:t>
      </w:r>
      <w:r>
        <w:t xml:space="preserve"> to </w:t>
      </w:r>
      <w:r w:rsidR="00FC4583">
        <w:t xml:space="preserve">sustainable </w:t>
      </w:r>
      <w:r>
        <w:t>management of wildlife resources.</w:t>
      </w:r>
      <w:bookmarkEnd w:id="199"/>
    </w:p>
    <w:p w:rsidR="00A1523B" w:rsidRDefault="00A1523B" w:rsidP="00A1523B">
      <w:pPr>
        <w:rPr>
          <w:lang w:eastAsia="en-CA"/>
        </w:rPr>
      </w:pPr>
    </w:p>
    <w:p w:rsidR="00A1523B" w:rsidRPr="00A1523B" w:rsidRDefault="00A1523B" w:rsidP="006401D8">
      <w:pPr>
        <w:keepNext/>
        <w:rPr>
          <w:lang w:eastAsia="en-CA"/>
        </w:rPr>
      </w:pPr>
      <w:r>
        <w:rPr>
          <w:noProof/>
          <w:lang w:val="en-US"/>
        </w:rPr>
        <w:drawing>
          <wp:inline distT="0" distB="0" distL="0" distR="0">
            <wp:extent cx="4755963" cy="3600000"/>
            <wp:effectExtent l="19050" t="19050" r="25587" b="1950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8" cstate="print"/>
                    <a:srcRect/>
                    <a:stretch>
                      <a:fillRect/>
                    </a:stretch>
                  </pic:blipFill>
                  <pic:spPr bwMode="auto">
                    <a:xfrm>
                      <a:off x="0" y="0"/>
                      <a:ext cx="4755963"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7920FE" w:rsidRDefault="007920FE" w:rsidP="007920FE">
      <w:pPr>
        <w:pStyle w:val="Caption"/>
      </w:pPr>
      <w:bookmarkStart w:id="200" w:name="_Ref325564391"/>
      <w:bookmarkStart w:id="201" w:name="_Toc338703866"/>
      <w:proofErr w:type="gramStart"/>
      <w:r>
        <w:t xml:space="preserve">Figure </w:t>
      </w:r>
      <w:fldSimple w:instr=" SEQ Figure \* ARABIC ">
        <w:r w:rsidR="00A02D22">
          <w:rPr>
            <w:noProof/>
          </w:rPr>
          <w:t>87</w:t>
        </w:r>
      </w:fldSimple>
      <w:bookmarkEnd w:id="200"/>
      <w:r w:rsidR="00202A19">
        <w:t>.</w:t>
      </w:r>
      <w:proofErr w:type="gramEnd"/>
      <w:r w:rsidR="00202A19">
        <w:t xml:space="preserve"> Current r</w:t>
      </w:r>
      <w:r>
        <w:t xml:space="preserve">oad network </w:t>
      </w:r>
      <w:r w:rsidR="004C53F9">
        <w:t>on CLFN SA</w:t>
      </w:r>
      <w:r>
        <w:t>.</w:t>
      </w:r>
      <w:bookmarkEnd w:id="201"/>
    </w:p>
    <w:p w:rsidR="00C25FF2" w:rsidRPr="00C25FF2" w:rsidRDefault="00C25FF2" w:rsidP="00C25FF2">
      <w:pPr>
        <w:rPr>
          <w:lang w:eastAsia="en-CA"/>
        </w:rPr>
      </w:pPr>
    </w:p>
    <w:p w:rsidR="00A0648F" w:rsidRDefault="00E8545C" w:rsidP="006401D8">
      <w:pPr>
        <w:pStyle w:val="BodyText"/>
        <w:keepNext/>
        <w:spacing w:after="0"/>
      </w:pPr>
      <w:r>
        <w:rPr>
          <w:noProof/>
          <w:lang w:val="en-US"/>
        </w:rPr>
        <w:lastRenderedPageBreak/>
        <w:drawing>
          <wp:inline distT="0" distB="0" distL="0" distR="0">
            <wp:extent cx="4789561" cy="3600000"/>
            <wp:effectExtent l="19050" t="19050" r="11039" b="19500"/>
            <wp:docPr id="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cstate="print"/>
                    <a:srcRect/>
                    <a:stretch>
                      <a:fillRect/>
                    </a:stretch>
                  </pic:blipFill>
                  <pic:spPr bwMode="auto">
                    <a:xfrm>
                      <a:off x="0" y="0"/>
                      <a:ext cx="4789561"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D31308" w:rsidRDefault="00A0648F" w:rsidP="00A0648F">
      <w:pPr>
        <w:pStyle w:val="Caption"/>
      </w:pPr>
      <w:bookmarkStart w:id="202" w:name="_Ref325564108"/>
      <w:bookmarkStart w:id="203" w:name="_Toc338703867"/>
      <w:proofErr w:type="gramStart"/>
      <w:r>
        <w:t xml:space="preserve">Figure </w:t>
      </w:r>
      <w:fldSimple w:instr=" SEQ Figure \* ARABIC ">
        <w:r w:rsidR="00A02D22">
          <w:rPr>
            <w:noProof/>
          </w:rPr>
          <w:t>88</w:t>
        </w:r>
      </w:fldSimple>
      <w:bookmarkEnd w:id="202"/>
      <w:r>
        <w:t>.</w:t>
      </w:r>
      <w:proofErr w:type="gramEnd"/>
      <w:r>
        <w:t xml:space="preserve"> </w:t>
      </w:r>
      <w:proofErr w:type="gramStart"/>
      <w:r>
        <w:t>Road network of CLFN</w:t>
      </w:r>
      <w:r w:rsidR="004C53F9">
        <w:t xml:space="preserve"> SA</w:t>
      </w:r>
      <w:r>
        <w:t xml:space="preserve"> in context of Alberta.</w:t>
      </w:r>
      <w:bookmarkEnd w:id="203"/>
      <w:proofErr w:type="gramEnd"/>
    </w:p>
    <w:p w:rsidR="00C23C62" w:rsidRDefault="00C23C62" w:rsidP="00C23C62">
      <w:pPr>
        <w:keepNext/>
      </w:pPr>
      <w:r>
        <w:rPr>
          <w:noProof/>
          <w:lang w:val="en-US"/>
        </w:rPr>
        <w:drawing>
          <wp:inline distT="0" distB="0" distL="0" distR="0">
            <wp:extent cx="4763150" cy="3600000"/>
            <wp:effectExtent l="19050" t="19050" r="18400" b="1950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00" cstate="print"/>
                    <a:srcRect/>
                    <a:stretch>
                      <a:fillRect/>
                    </a:stretch>
                  </pic:blipFill>
                  <pic:spPr bwMode="auto">
                    <a:xfrm>
                      <a:off x="0" y="0"/>
                      <a:ext cx="4763150"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C23C62" w:rsidRPr="00C23C62" w:rsidRDefault="00C23C62" w:rsidP="00C23C62">
      <w:pPr>
        <w:pStyle w:val="Caption"/>
      </w:pPr>
      <w:bookmarkStart w:id="204" w:name="_Ref326248047"/>
      <w:bookmarkStart w:id="205" w:name="_Toc338703868"/>
      <w:proofErr w:type="gramStart"/>
      <w:r>
        <w:t xml:space="preserve">Figure </w:t>
      </w:r>
      <w:fldSimple w:instr=" SEQ Figure \* ARABIC ">
        <w:r w:rsidR="00A02D22">
          <w:rPr>
            <w:noProof/>
          </w:rPr>
          <w:t>89</w:t>
        </w:r>
      </w:fldSimple>
      <w:bookmarkEnd w:id="204"/>
      <w:r>
        <w:t>.</w:t>
      </w:r>
      <w:proofErr w:type="gramEnd"/>
      <w:r>
        <w:t xml:space="preserve"> </w:t>
      </w:r>
      <w:proofErr w:type="gramStart"/>
      <w:r>
        <w:t>Time series (1910-2010) of transportation density in CLFN SA.</w:t>
      </w:r>
      <w:bookmarkEnd w:id="205"/>
      <w:proofErr w:type="gramEnd"/>
    </w:p>
    <w:p w:rsidR="002520E1" w:rsidRDefault="002520E1">
      <w:pPr>
        <w:spacing w:after="200" w:line="276" w:lineRule="auto"/>
        <w:rPr>
          <w:rFonts w:ascii="Arial" w:hAnsi="Arial"/>
          <w:b/>
          <w:caps/>
          <w:kern w:val="28"/>
          <w:sz w:val="28"/>
          <w:lang w:val="en-US"/>
        </w:rPr>
      </w:pPr>
      <w:r>
        <w:br w:type="page"/>
      </w:r>
    </w:p>
    <w:p w:rsidR="00851A4D" w:rsidRDefault="005B61FA" w:rsidP="00FF20D4">
      <w:pPr>
        <w:pStyle w:val="Heading2"/>
      </w:pPr>
      <w:bookmarkStart w:id="206" w:name="_Toc338703696"/>
      <w:r>
        <w:lastRenderedPageBreak/>
        <w:t>Current S</w:t>
      </w:r>
      <w:r w:rsidR="00E613B9">
        <w:t xml:space="preserve">tatus of </w:t>
      </w:r>
      <w:r w:rsidR="00851A4D">
        <w:t xml:space="preserve">Multiple Overlapping </w:t>
      </w:r>
      <w:r w:rsidR="00C544DE">
        <w:t>Land-use</w:t>
      </w:r>
      <w:r w:rsidR="00851A4D">
        <w:t>s</w:t>
      </w:r>
      <w:bookmarkEnd w:id="206"/>
    </w:p>
    <w:p w:rsidR="00FC4583" w:rsidRDefault="00146504" w:rsidP="00FC4583">
      <w:pPr>
        <w:pStyle w:val="BodyText"/>
        <w:rPr>
          <w:lang w:val="en-US"/>
        </w:rPr>
      </w:pPr>
      <w:r>
        <w:rPr>
          <w:lang w:val="en-US"/>
        </w:rPr>
        <w:t xml:space="preserve">Assessing the direct and indirect footprints of all overlapping </w:t>
      </w:r>
      <w:r w:rsidR="00C544DE">
        <w:rPr>
          <w:lang w:val="en-US"/>
        </w:rPr>
        <w:t>land-use</w:t>
      </w:r>
      <w:r>
        <w:rPr>
          <w:lang w:val="en-US"/>
        </w:rPr>
        <w:t xml:space="preserve">s is a key step to completing a comprehensive cumulative effects assessment. As such, the next </w:t>
      </w:r>
      <w:r w:rsidR="004D2239">
        <w:rPr>
          <w:lang w:val="en-US"/>
        </w:rPr>
        <w:t xml:space="preserve">logical </w:t>
      </w:r>
      <w:r>
        <w:rPr>
          <w:lang w:val="en-US"/>
        </w:rPr>
        <w:t xml:space="preserve">step is to combine the anthropogenic footprints from </w:t>
      </w:r>
      <w:r w:rsidR="004D2239">
        <w:rPr>
          <w:lang w:val="en-US"/>
        </w:rPr>
        <w:t xml:space="preserve">the </w:t>
      </w:r>
      <w:r w:rsidR="00C544DE">
        <w:rPr>
          <w:lang w:val="en-US"/>
        </w:rPr>
        <w:t>land-use</w:t>
      </w:r>
      <w:r w:rsidR="004D2239">
        <w:rPr>
          <w:lang w:val="en-US"/>
        </w:rPr>
        <w:t xml:space="preserve"> sectors </w:t>
      </w:r>
      <w:r>
        <w:rPr>
          <w:lang w:val="en-US"/>
        </w:rPr>
        <w:t>of croplands, transportation, energy sector, residential, military, and parks.</w:t>
      </w:r>
      <w:r w:rsidR="00034E9D">
        <w:rPr>
          <w:lang w:val="en-US"/>
        </w:rPr>
        <w:t xml:space="preserve"> Collectively, the direct footprints of each </w:t>
      </w:r>
      <w:r w:rsidR="00C544DE">
        <w:rPr>
          <w:lang w:val="en-US"/>
        </w:rPr>
        <w:t>land-use</w:t>
      </w:r>
      <w:r w:rsidR="00034E9D">
        <w:rPr>
          <w:lang w:val="en-US"/>
        </w:rPr>
        <w:t xml:space="preserve">, and their indirect buffers, </w:t>
      </w:r>
      <w:r w:rsidR="004C53F9">
        <w:rPr>
          <w:lang w:val="en-US"/>
        </w:rPr>
        <w:t xml:space="preserve">largely </w:t>
      </w:r>
      <w:r w:rsidR="00034E9D">
        <w:rPr>
          <w:lang w:val="en-US"/>
        </w:rPr>
        <w:t>determine the amount and quality of habitat available for harvested species (moose, fish, furbearers, berries) and ecological processes.</w:t>
      </w:r>
      <w:r w:rsidR="00034196">
        <w:rPr>
          <w:lang w:val="en-US"/>
        </w:rPr>
        <w:t xml:space="preserve"> These </w:t>
      </w:r>
      <w:r w:rsidR="00C544DE">
        <w:rPr>
          <w:lang w:val="en-US"/>
        </w:rPr>
        <w:t>land-use</w:t>
      </w:r>
      <w:r w:rsidR="00034196">
        <w:rPr>
          <w:lang w:val="en-US"/>
        </w:rPr>
        <w:t xml:space="preserve"> footprints also determine the production of such </w:t>
      </w:r>
      <w:r w:rsidR="009D60FA">
        <w:rPr>
          <w:lang w:val="en-US"/>
        </w:rPr>
        <w:t xml:space="preserve">important </w:t>
      </w:r>
      <w:r w:rsidR="00034196">
        <w:rPr>
          <w:lang w:val="en-US"/>
        </w:rPr>
        <w:t>commodities as cro</w:t>
      </w:r>
      <w:r w:rsidR="007F5FC5">
        <w:rPr>
          <w:lang w:val="en-US"/>
        </w:rPr>
        <w:t>ps, livestock, and hydrocarbons (</w:t>
      </w:r>
      <w:r w:rsidR="00575CA7">
        <w:rPr>
          <w:lang w:val="en-US"/>
        </w:rPr>
        <w:fldChar w:fldCharType="begin"/>
      </w:r>
      <w:r w:rsidR="007F5FC5">
        <w:rPr>
          <w:lang w:val="en-US"/>
        </w:rPr>
        <w:instrText xml:space="preserve"> REF _Ref326248547 \h </w:instrText>
      </w:r>
      <w:r w:rsidR="00575CA7">
        <w:rPr>
          <w:lang w:val="en-US"/>
        </w:rPr>
      </w:r>
      <w:r w:rsidR="00575CA7">
        <w:rPr>
          <w:lang w:val="en-US"/>
        </w:rPr>
        <w:fldChar w:fldCharType="separate"/>
      </w:r>
      <w:r w:rsidR="003648B8">
        <w:t xml:space="preserve">Figure </w:t>
      </w:r>
      <w:r w:rsidR="003648B8">
        <w:rPr>
          <w:noProof/>
        </w:rPr>
        <w:t>90</w:t>
      </w:r>
      <w:r w:rsidR="00575CA7">
        <w:rPr>
          <w:lang w:val="en-US"/>
        </w:rPr>
        <w:fldChar w:fldCharType="end"/>
      </w:r>
      <w:r w:rsidR="007F5FC5">
        <w:rPr>
          <w:lang w:val="en-US"/>
        </w:rPr>
        <w:t>).</w:t>
      </w:r>
    </w:p>
    <w:p w:rsidR="00FF1CC0" w:rsidRDefault="00FF1CC0" w:rsidP="00FC4583">
      <w:pPr>
        <w:pStyle w:val="BodyText"/>
        <w:rPr>
          <w:lang w:val="en-US"/>
        </w:rPr>
      </w:pPr>
      <w:r>
        <w:rPr>
          <w:lang w:val="en-US"/>
        </w:rPr>
        <w:t>When adopting a broa</w:t>
      </w:r>
      <w:r w:rsidR="008055D8">
        <w:rPr>
          <w:lang w:val="en-US"/>
        </w:rPr>
        <w:t xml:space="preserve">d historical perspective, it is </w:t>
      </w:r>
      <w:r>
        <w:rPr>
          <w:lang w:val="en-US"/>
        </w:rPr>
        <w:t xml:space="preserve">easy to see that not all </w:t>
      </w:r>
      <w:r w:rsidR="00C544DE">
        <w:rPr>
          <w:lang w:val="en-US"/>
        </w:rPr>
        <w:t>land-use</w:t>
      </w:r>
      <w:r>
        <w:rPr>
          <w:lang w:val="en-US"/>
        </w:rPr>
        <w:t xml:space="preserve">s arrived on the CLFN SA at the same time, nor </w:t>
      </w:r>
      <w:r w:rsidR="00A95726">
        <w:rPr>
          <w:lang w:val="en-US"/>
        </w:rPr>
        <w:t xml:space="preserve">did they have </w:t>
      </w:r>
      <w:r>
        <w:rPr>
          <w:lang w:val="en-US"/>
        </w:rPr>
        <w:t xml:space="preserve">the same level of effect on key indicators. Very broadly, the history of </w:t>
      </w:r>
      <w:r w:rsidR="00C544DE">
        <w:rPr>
          <w:lang w:val="en-US"/>
        </w:rPr>
        <w:t>land-use</w:t>
      </w:r>
      <w:r>
        <w:rPr>
          <w:lang w:val="en-US"/>
        </w:rPr>
        <w:t>s is displayed in</w:t>
      </w:r>
      <w:r w:rsidR="008055D8">
        <w:rPr>
          <w:lang w:val="en-US"/>
        </w:rPr>
        <w:t xml:space="preserve"> </w:t>
      </w:r>
      <w:r w:rsidR="00575CA7">
        <w:rPr>
          <w:lang w:val="en-US"/>
        </w:rPr>
        <w:fldChar w:fldCharType="begin"/>
      </w:r>
      <w:r w:rsidR="008055D8">
        <w:rPr>
          <w:lang w:val="en-US"/>
        </w:rPr>
        <w:instrText xml:space="preserve"> REF _Ref325879648 \h </w:instrText>
      </w:r>
      <w:r w:rsidR="00575CA7">
        <w:rPr>
          <w:lang w:val="en-US"/>
        </w:rPr>
      </w:r>
      <w:r w:rsidR="00575CA7">
        <w:rPr>
          <w:lang w:val="en-US"/>
        </w:rPr>
        <w:fldChar w:fldCharType="separate"/>
      </w:r>
      <w:r w:rsidR="003648B8">
        <w:t xml:space="preserve">Figure </w:t>
      </w:r>
      <w:r w:rsidR="003648B8">
        <w:rPr>
          <w:noProof/>
        </w:rPr>
        <w:t>18</w:t>
      </w:r>
      <w:r w:rsidR="00575CA7">
        <w:rPr>
          <w:lang w:val="en-US"/>
        </w:rPr>
        <w:fldChar w:fldCharType="end"/>
      </w:r>
      <w:r>
        <w:rPr>
          <w:lang w:val="en-US"/>
        </w:rPr>
        <w:t>.  The general o</w:t>
      </w:r>
      <w:r w:rsidR="008055D8">
        <w:rPr>
          <w:lang w:val="en-US"/>
        </w:rPr>
        <w:t>rder</w:t>
      </w:r>
      <w:r>
        <w:rPr>
          <w:lang w:val="en-US"/>
        </w:rPr>
        <w:t xml:space="preserve"> of </w:t>
      </w:r>
      <w:r w:rsidR="00C544DE">
        <w:rPr>
          <w:lang w:val="en-US"/>
        </w:rPr>
        <w:t>land-use</w:t>
      </w:r>
      <w:r>
        <w:rPr>
          <w:lang w:val="en-US"/>
        </w:rPr>
        <w:t xml:space="preserve"> histories </w:t>
      </w:r>
      <w:r w:rsidR="008055D8">
        <w:rPr>
          <w:lang w:val="en-US"/>
        </w:rPr>
        <w:t>is</w:t>
      </w:r>
      <w:r>
        <w:rPr>
          <w:lang w:val="en-US"/>
        </w:rPr>
        <w:t>:</w:t>
      </w:r>
    </w:p>
    <w:p w:rsidR="00FF1CC0" w:rsidRDefault="00FF1CC0" w:rsidP="003F3386">
      <w:pPr>
        <w:pStyle w:val="BodyText"/>
        <w:numPr>
          <w:ilvl w:val="0"/>
          <w:numId w:val="19"/>
        </w:numPr>
        <w:spacing w:after="0"/>
        <w:ind w:left="714" w:hanging="357"/>
        <w:rPr>
          <w:lang w:val="en-US"/>
        </w:rPr>
      </w:pPr>
      <w:r>
        <w:rPr>
          <w:lang w:val="en-US"/>
        </w:rPr>
        <w:t>First Nations</w:t>
      </w:r>
    </w:p>
    <w:p w:rsidR="00FF1CC0" w:rsidRDefault="00FF1CC0" w:rsidP="003F3386">
      <w:pPr>
        <w:pStyle w:val="BodyText"/>
        <w:numPr>
          <w:ilvl w:val="0"/>
          <w:numId w:val="19"/>
        </w:numPr>
        <w:spacing w:after="0"/>
        <w:ind w:left="714" w:hanging="357"/>
        <w:rPr>
          <w:lang w:val="en-US"/>
        </w:rPr>
      </w:pPr>
      <w:r>
        <w:rPr>
          <w:lang w:val="en-US"/>
        </w:rPr>
        <w:t>Trapping</w:t>
      </w:r>
    </w:p>
    <w:p w:rsidR="00FF1CC0" w:rsidRDefault="00FF1CC0" w:rsidP="003F3386">
      <w:pPr>
        <w:pStyle w:val="BodyText"/>
        <w:numPr>
          <w:ilvl w:val="0"/>
          <w:numId w:val="19"/>
        </w:numPr>
        <w:spacing w:after="0"/>
        <w:ind w:left="714" w:hanging="357"/>
        <w:rPr>
          <w:lang w:val="en-US"/>
        </w:rPr>
      </w:pPr>
      <w:r>
        <w:rPr>
          <w:lang w:val="en-US"/>
        </w:rPr>
        <w:t>Agriculture (crops and livestock)</w:t>
      </w:r>
    </w:p>
    <w:p w:rsidR="00FF1CC0" w:rsidRDefault="00FF1CC0" w:rsidP="003F3386">
      <w:pPr>
        <w:pStyle w:val="BodyText"/>
        <w:numPr>
          <w:ilvl w:val="0"/>
          <w:numId w:val="19"/>
        </w:numPr>
        <w:spacing w:after="0"/>
        <w:ind w:left="714" w:hanging="357"/>
        <w:rPr>
          <w:lang w:val="en-US"/>
        </w:rPr>
      </w:pPr>
      <w:r>
        <w:rPr>
          <w:lang w:val="en-US"/>
        </w:rPr>
        <w:t>Settlements</w:t>
      </w:r>
    </w:p>
    <w:p w:rsidR="00FF1CC0" w:rsidRDefault="00FF1CC0" w:rsidP="003F3386">
      <w:pPr>
        <w:pStyle w:val="BodyText"/>
        <w:numPr>
          <w:ilvl w:val="0"/>
          <w:numId w:val="19"/>
        </w:numPr>
        <w:spacing w:after="0"/>
        <w:ind w:left="714" w:hanging="357"/>
        <w:rPr>
          <w:lang w:val="en-US"/>
        </w:rPr>
      </w:pPr>
      <w:r>
        <w:rPr>
          <w:lang w:val="en-US"/>
        </w:rPr>
        <w:t>Residential Schooling</w:t>
      </w:r>
    </w:p>
    <w:p w:rsidR="00FF1CC0" w:rsidRDefault="00FF1CC0" w:rsidP="003F3386">
      <w:pPr>
        <w:pStyle w:val="BodyText"/>
        <w:numPr>
          <w:ilvl w:val="0"/>
          <w:numId w:val="19"/>
        </w:numPr>
        <w:spacing w:after="0"/>
        <w:ind w:left="714" w:hanging="357"/>
        <w:rPr>
          <w:lang w:val="en-US"/>
        </w:rPr>
      </w:pPr>
      <w:r>
        <w:rPr>
          <w:lang w:val="en-US"/>
        </w:rPr>
        <w:t>Military</w:t>
      </w:r>
    </w:p>
    <w:p w:rsidR="00FF1CC0" w:rsidRDefault="00FF1CC0" w:rsidP="003F3386">
      <w:pPr>
        <w:pStyle w:val="BodyText"/>
        <w:numPr>
          <w:ilvl w:val="0"/>
          <w:numId w:val="19"/>
        </w:numPr>
        <w:spacing w:after="0"/>
        <w:ind w:left="714" w:hanging="357"/>
        <w:rPr>
          <w:lang w:val="en-US"/>
        </w:rPr>
      </w:pPr>
      <w:r>
        <w:rPr>
          <w:lang w:val="en-US"/>
        </w:rPr>
        <w:t>Oil and Gas</w:t>
      </w:r>
    </w:p>
    <w:p w:rsidR="00FF1CC0" w:rsidRDefault="00FF1CC0" w:rsidP="00FF1CC0">
      <w:pPr>
        <w:pStyle w:val="BodyText"/>
        <w:spacing w:after="0"/>
        <w:ind w:left="714" w:hanging="714"/>
        <w:rPr>
          <w:lang w:val="en-US"/>
        </w:rPr>
      </w:pPr>
    </w:p>
    <w:p w:rsidR="00FF1CC0" w:rsidRDefault="00FF1CC0" w:rsidP="00FF1CC0">
      <w:pPr>
        <w:pStyle w:val="BodyText"/>
        <w:spacing w:after="0"/>
        <w:rPr>
          <w:lang w:val="en-US"/>
        </w:rPr>
      </w:pPr>
      <w:r>
        <w:rPr>
          <w:lang w:val="en-US"/>
        </w:rPr>
        <w:t xml:space="preserve">While some might find it confusing, possibly offensive, to refer to First Nations as a </w:t>
      </w:r>
      <w:r w:rsidR="00C544DE">
        <w:rPr>
          <w:lang w:val="en-US"/>
        </w:rPr>
        <w:t>land-use</w:t>
      </w:r>
      <w:r>
        <w:rPr>
          <w:lang w:val="en-US"/>
        </w:rPr>
        <w:t xml:space="preserve">, that is precisely what they were and are. This aboriginal community was the defining use of the landscape prior to the 1900s in space and time from the perspective of people and their activities. Whatever anthropogenic footprints existed (camps, trails, waste dumps, </w:t>
      </w:r>
      <w:proofErr w:type="gramStart"/>
      <w:r>
        <w:rPr>
          <w:lang w:val="en-US"/>
        </w:rPr>
        <w:t>burial</w:t>
      </w:r>
      <w:proofErr w:type="gramEnd"/>
      <w:r>
        <w:rPr>
          <w:lang w:val="en-US"/>
        </w:rPr>
        <w:t xml:space="preserve"> sites) would have been theirs and not altered by European cultures that had yet to arrive. Th</w:t>
      </w:r>
      <w:r w:rsidR="00A95726">
        <w:rPr>
          <w:lang w:val="en-US"/>
        </w:rPr>
        <w:t>eir</w:t>
      </w:r>
      <w:r>
        <w:rPr>
          <w:lang w:val="en-US"/>
        </w:rPr>
        <w:t xml:space="preserve"> spatial and temporal pattern of </w:t>
      </w:r>
      <w:r w:rsidR="00C544DE">
        <w:rPr>
          <w:lang w:val="en-US"/>
        </w:rPr>
        <w:t>land-use</w:t>
      </w:r>
      <w:r>
        <w:rPr>
          <w:lang w:val="en-US"/>
        </w:rPr>
        <w:t xml:space="preserve"> would change radically with the arrival of trapping and subsequent </w:t>
      </w:r>
      <w:r w:rsidR="00C544DE">
        <w:rPr>
          <w:lang w:val="en-US"/>
        </w:rPr>
        <w:t>land-use</w:t>
      </w:r>
      <w:r>
        <w:rPr>
          <w:lang w:val="en-US"/>
        </w:rPr>
        <w:t>s associated with non-aboriginal cultures.</w:t>
      </w:r>
    </w:p>
    <w:p w:rsidR="00FF1CC0" w:rsidRDefault="00FF1CC0" w:rsidP="00FF1CC0">
      <w:pPr>
        <w:pStyle w:val="BodyText"/>
        <w:spacing w:after="0"/>
        <w:rPr>
          <w:lang w:val="en-US"/>
        </w:rPr>
      </w:pPr>
    </w:p>
    <w:p w:rsidR="00FF1CC0" w:rsidRDefault="00FF1CC0" w:rsidP="00FF1CC0">
      <w:pPr>
        <w:pStyle w:val="BodyText"/>
        <w:spacing w:after="0"/>
        <w:rPr>
          <w:lang w:val="en-US"/>
        </w:rPr>
      </w:pPr>
      <w:r>
        <w:rPr>
          <w:lang w:val="en-US"/>
        </w:rPr>
        <w:t xml:space="preserve">It </w:t>
      </w:r>
      <w:r w:rsidR="00CF17CE">
        <w:rPr>
          <w:lang w:val="en-US"/>
        </w:rPr>
        <w:t xml:space="preserve">may </w:t>
      </w:r>
      <w:r>
        <w:rPr>
          <w:lang w:val="en-US"/>
        </w:rPr>
        <w:t xml:space="preserve">also be confusing to describe </w:t>
      </w:r>
      <w:r w:rsidR="00CF17CE">
        <w:rPr>
          <w:lang w:val="en-US"/>
        </w:rPr>
        <w:t>“</w:t>
      </w:r>
      <w:r>
        <w:rPr>
          <w:lang w:val="en-US"/>
        </w:rPr>
        <w:t>residential schooling</w:t>
      </w:r>
      <w:r w:rsidR="00CF17CE">
        <w:rPr>
          <w:lang w:val="en-US"/>
        </w:rPr>
        <w:t>”</w:t>
      </w:r>
      <w:r>
        <w:rPr>
          <w:lang w:val="en-US"/>
        </w:rPr>
        <w:t xml:space="preserve"> as a </w:t>
      </w:r>
      <w:r w:rsidR="00C544DE">
        <w:rPr>
          <w:lang w:val="en-US"/>
        </w:rPr>
        <w:t>land-use</w:t>
      </w:r>
      <w:r>
        <w:rPr>
          <w:lang w:val="en-US"/>
        </w:rPr>
        <w:t>, but from</w:t>
      </w:r>
      <w:r w:rsidR="00CF17CE">
        <w:rPr>
          <w:lang w:val="en-US"/>
        </w:rPr>
        <w:t xml:space="preserve"> the perspective of cultural movement patterns, </w:t>
      </w:r>
      <w:r w:rsidR="0044101A">
        <w:rPr>
          <w:lang w:val="en-US"/>
        </w:rPr>
        <w:t>the government decision</w:t>
      </w:r>
      <w:r w:rsidR="0045422A">
        <w:rPr>
          <w:lang w:val="en-US"/>
        </w:rPr>
        <w:t xml:space="preserve"> </w:t>
      </w:r>
      <w:r w:rsidR="00CF17CE">
        <w:rPr>
          <w:lang w:val="en-US"/>
        </w:rPr>
        <w:t xml:space="preserve">to school CLFN children away from their parents and homes </w:t>
      </w:r>
      <w:r w:rsidR="009D60FA">
        <w:rPr>
          <w:lang w:val="en-US"/>
        </w:rPr>
        <w:t>inevitably</w:t>
      </w:r>
      <w:r w:rsidR="00CF17CE">
        <w:rPr>
          <w:lang w:val="en-US"/>
        </w:rPr>
        <w:t xml:space="preserve"> caused a major shift in the way CLFN </w:t>
      </w:r>
      <w:r w:rsidR="00F764E9">
        <w:rPr>
          <w:lang w:val="en-US"/>
        </w:rPr>
        <w:t>people</w:t>
      </w:r>
      <w:r w:rsidR="00CF17CE">
        <w:rPr>
          <w:lang w:val="en-US"/>
        </w:rPr>
        <w:t xml:space="preserve"> used the land.</w:t>
      </w:r>
    </w:p>
    <w:p w:rsidR="00FF1CC0" w:rsidRDefault="00FF1CC0" w:rsidP="00FF1CC0">
      <w:pPr>
        <w:pStyle w:val="BodyText"/>
        <w:spacing w:after="0"/>
        <w:ind w:left="714"/>
        <w:rPr>
          <w:lang w:val="en-US"/>
        </w:rPr>
      </w:pPr>
    </w:p>
    <w:p w:rsidR="00034E9D" w:rsidRDefault="00034E9D" w:rsidP="00FC4583">
      <w:pPr>
        <w:pStyle w:val="BodyText"/>
        <w:rPr>
          <w:lang w:val="en-US"/>
        </w:rPr>
      </w:pPr>
      <w:r>
        <w:rPr>
          <w:lang w:val="en-US"/>
        </w:rPr>
        <w:t xml:space="preserve">At a simplistic level, </w:t>
      </w:r>
      <w:r w:rsidR="00575CA7">
        <w:rPr>
          <w:lang w:val="en-US"/>
        </w:rPr>
        <w:fldChar w:fldCharType="begin"/>
      </w:r>
      <w:r w:rsidR="00AB70DD">
        <w:rPr>
          <w:lang w:val="en-US"/>
        </w:rPr>
        <w:instrText xml:space="preserve"> REF _Ref325572382 \h </w:instrText>
      </w:r>
      <w:r w:rsidR="00575CA7">
        <w:rPr>
          <w:lang w:val="en-US"/>
        </w:rPr>
      </w:r>
      <w:r w:rsidR="00575CA7">
        <w:rPr>
          <w:lang w:val="en-US"/>
        </w:rPr>
        <w:fldChar w:fldCharType="separate"/>
      </w:r>
      <w:r w:rsidR="003648B8">
        <w:t xml:space="preserve">Figure </w:t>
      </w:r>
      <w:r w:rsidR="003648B8">
        <w:rPr>
          <w:noProof/>
        </w:rPr>
        <w:t>91</w:t>
      </w:r>
      <w:r w:rsidR="00575CA7">
        <w:rPr>
          <w:lang w:val="en-US"/>
        </w:rPr>
        <w:fldChar w:fldCharType="end"/>
      </w:r>
      <w:r w:rsidR="007F5FC5">
        <w:rPr>
          <w:lang w:val="en-US"/>
        </w:rPr>
        <w:t>,</w:t>
      </w:r>
      <w:r w:rsidR="00AB70DD">
        <w:rPr>
          <w:lang w:val="en-US"/>
        </w:rPr>
        <w:t xml:space="preserve"> </w:t>
      </w:r>
      <w:r w:rsidR="00575CA7">
        <w:rPr>
          <w:lang w:val="en-US"/>
        </w:rPr>
        <w:fldChar w:fldCharType="begin"/>
      </w:r>
      <w:r w:rsidR="007F5FC5">
        <w:rPr>
          <w:lang w:val="en-US"/>
        </w:rPr>
        <w:instrText xml:space="preserve"> REF _Ref326248802 \h </w:instrText>
      </w:r>
      <w:r w:rsidR="00575CA7">
        <w:rPr>
          <w:lang w:val="en-US"/>
        </w:rPr>
      </w:r>
      <w:r w:rsidR="00575CA7">
        <w:rPr>
          <w:lang w:val="en-US"/>
        </w:rPr>
        <w:fldChar w:fldCharType="separate"/>
      </w:r>
      <w:r w:rsidR="003648B8">
        <w:t xml:space="preserve">Figure </w:t>
      </w:r>
      <w:r w:rsidR="003648B8">
        <w:rPr>
          <w:noProof/>
        </w:rPr>
        <w:t>92</w:t>
      </w:r>
      <w:r w:rsidR="00575CA7">
        <w:rPr>
          <w:lang w:val="en-US"/>
        </w:rPr>
        <w:fldChar w:fldCharType="end"/>
      </w:r>
      <w:r w:rsidR="007F5FC5">
        <w:rPr>
          <w:lang w:val="en-US"/>
        </w:rPr>
        <w:t xml:space="preserve">, and </w:t>
      </w:r>
      <w:r w:rsidR="00575CA7">
        <w:rPr>
          <w:lang w:val="en-US"/>
        </w:rPr>
        <w:fldChar w:fldCharType="begin"/>
      </w:r>
      <w:r w:rsidR="007F5FC5">
        <w:rPr>
          <w:lang w:val="en-US"/>
        </w:rPr>
        <w:instrText xml:space="preserve"> REF _Ref326248804 \h </w:instrText>
      </w:r>
      <w:r w:rsidR="00575CA7">
        <w:rPr>
          <w:lang w:val="en-US"/>
        </w:rPr>
      </w:r>
      <w:r w:rsidR="00575CA7">
        <w:rPr>
          <w:lang w:val="en-US"/>
        </w:rPr>
        <w:fldChar w:fldCharType="separate"/>
      </w:r>
      <w:r w:rsidR="003648B8">
        <w:t xml:space="preserve">Figure </w:t>
      </w:r>
      <w:r w:rsidR="003648B8">
        <w:rPr>
          <w:noProof/>
        </w:rPr>
        <w:t>93</w:t>
      </w:r>
      <w:r w:rsidR="00575CA7">
        <w:rPr>
          <w:lang w:val="en-US"/>
        </w:rPr>
        <w:fldChar w:fldCharType="end"/>
      </w:r>
      <w:r w:rsidR="007F5FC5">
        <w:rPr>
          <w:lang w:val="en-US"/>
        </w:rPr>
        <w:t xml:space="preserve"> </w:t>
      </w:r>
      <w:r w:rsidR="00EF5E33">
        <w:rPr>
          <w:lang w:val="en-US"/>
        </w:rPr>
        <w:t>reveal</w:t>
      </w:r>
      <w:r w:rsidR="00AB70DD">
        <w:rPr>
          <w:lang w:val="en-US"/>
        </w:rPr>
        <w:t xml:space="preserve"> the extent to which all </w:t>
      </w:r>
      <w:r w:rsidR="00C544DE">
        <w:rPr>
          <w:lang w:val="en-US"/>
        </w:rPr>
        <w:t>land-use</w:t>
      </w:r>
      <w:r w:rsidR="00AB70DD">
        <w:rPr>
          <w:lang w:val="en-US"/>
        </w:rPr>
        <w:t xml:space="preserve">s have transformed the CLFN landscape since pre-industrial times. Approximately 113,000 ha has been converted from native forests and grassland into crops </w:t>
      </w:r>
      <w:r w:rsidR="00711E7D">
        <w:rPr>
          <w:lang w:val="en-US"/>
        </w:rPr>
        <w:t>(</w:t>
      </w:r>
      <w:r w:rsidR="00575CA7">
        <w:rPr>
          <w:lang w:val="en-US"/>
        </w:rPr>
        <w:fldChar w:fldCharType="begin"/>
      </w:r>
      <w:r w:rsidR="00711E7D">
        <w:rPr>
          <w:lang w:val="en-US"/>
        </w:rPr>
        <w:instrText xml:space="preserve"> REF _Ref325572786 \h </w:instrText>
      </w:r>
      <w:r w:rsidR="00575CA7">
        <w:rPr>
          <w:lang w:val="en-US"/>
        </w:rPr>
      </w:r>
      <w:r w:rsidR="00575CA7">
        <w:rPr>
          <w:lang w:val="en-US"/>
        </w:rPr>
        <w:fldChar w:fldCharType="separate"/>
      </w:r>
      <w:r w:rsidR="003648B8">
        <w:t xml:space="preserve">Figure </w:t>
      </w:r>
      <w:r w:rsidR="003648B8">
        <w:rPr>
          <w:noProof/>
        </w:rPr>
        <w:t>101</w:t>
      </w:r>
      <w:r w:rsidR="00575CA7">
        <w:rPr>
          <w:lang w:val="en-US"/>
        </w:rPr>
        <w:fldChar w:fldCharType="end"/>
      </w:r>
      <w:r w:rsidR="00711E7D">
        <w:rPr>
          <w:lang w:val="en-US"/>
        </w:rPr>
        <w:t xml:space="preserve">) </w:t>
      </w:r>
      <w:r w:rsidR="00AB70DD">
        <w:rPr>
          <w:lang w:val="en-US"/>
        </w:rPr>
        <w:t xml:space="preserve">and another </w:t>
      </w:r>
      <w:r w:rsidR="006724C1">
        <w:rPr>
          <w:lang w:val="en-US"/>
        </w:rPr>
        <w:t>~</w:t>
      </w:r>
      <w:r w:rsidR="00AB70DD">
        <w:rPr>
          <w:lang w:val="en-US"/>
        </w:rPr>
        <w:t>40,000 ha is currently in the footprint of transportation (</w:t>
      </w:r>
      <w:r w:rsidR="006724C1">
        <w:rPr>
          <w:lang w:val="en-US"/>
        </w:rPr>
        <w:t>9,000</w:t>
      </w:r>
      <w:r w:rsidR="00AB70DD">
        <w:rPr>
          <w:lang w:val="en-US"/>
        </w:rPr>
        <w:t xml:space="preserve"> ha), energy sector (</w:t>
      </w:r>
      <w:r w:rsidR="006724C1">
        <w:rPr>
          <w:lang w:val="en-US"/>
        </w:rPr>
        <w:t>21,000 ha</w:t>
      </w:r>
      <w:r w:rsidR="00AB70DD">
        <w:rPr>
          <w:lang w:val="en-US"/>
        </w:rPr>
        <w:t>) and residential (</w:t>
      </w:r>
      <w:r w:rsidR="006724C1">
        <w:rPr>
          <w:lang w:val="en-US"/>
        </w:rPr>
        <w:t>10,000 ha</w:t>
      </w:r>
      <w:r w:rsidR="00AB70DD">
        <w:rPr>
          <w:lang w:val="en-US"/>
        </w:rPr>
        <w:t>).</w:t>
      </w:r>
      <w:r w:rsidR="006724C1">
        <w:rPr>
          <w:lang w:val="en-US"/>
        </w:rPr>
        <w:t xml:space="preserve"> Combined, 13.6% of the landscape is in the direct footprint of </w:t>
      </w:r>
      <w:r w:rsidR="00C544DE">
        <w:rPr>
          <w:lang w:val="en-US"/>
        </w:rPr>
        <w:t>land-use</w:t>
      </w:r>
      <w:r w:rsidR="006724C1">
        <w:rPr>
          <w:lang w:val="en-US"/>
        </w:rPr>
        <w:t>.</w:t>
      </w:r>
      <w:r w:rsidR="00034196">
        <w:rPr>
          <w:lang w:val="en-US"/>
        </w:rPr>
        <w:t xml:space="preserve"> Highest increases in direct </w:t>
      </w:r>
      <w:r w:rsidR="00C544DE">
        <w:rPr>
          <w:lang w:val="en-US"/>
        </w:rPr>
        <w:t>land-use</w:t>
      </w:r>
      <w:r w:rsidR="00034196">
        <w:rPr>
          <w:lang w:val="en-US"/>
        </w:rPr>
        <w:t xml:space="preserve"> footprint occur in the southern portions of CLFN SA and are attributed to agricultural conversions (</w:t>
      </w:r>
      <w:r w:rsidR="00575CA7">
        <w:rPr>
          <w:lang w:val="en-US"/>
        </w:rPr>
        <w:fldChar w:fldCharType="begin"/>
      </w:r>
      <w:r w:rsidR="00034196">
        <w:rPr>
          <w:lang w:val="en-US"/>
        </w:rPr>
        <w:instrText xml:space="preserve"> REF _Ref325629919 \h </w:instrText>
      </w:r>
      <w:r w:rsidR="00575CA7">
        <w:rPr>
          <w:lang w:val="en-US"/>
        </w:rPr>
      </w:r>
      <w:r w:rsidR="00575CA7">
        <w:rPr>
          <w:lang w:val="en-US"/>
        </w:rPr>
        <w:fldChar w:fldCharType="separate"/>
      </w:r>
      <w:r w:rsidR="003648B8">
        <w:t xml:space="preserve">Figure </w:t>
      </w:r>
      <w:r w:rsidR="003648B8">
        <w:rPr>
          <w:noProof/>
        </w:rPr>
        <w:t>94</w:t>
      </w:r>
      <w:r w:rsidR="00575CA7">
        <w:rPr>
          <w:lang w:val="en-US"/>
        </w:rPr>
        <w:fldChar w:fldCharType="end"/>
      </w:r>
      <w:r w:rsidR="007F5FC5">
        <w:rPr>
          <w:lang w:val="en-US"/>
        </w:rPr>
        <w:t xml:space="preserve"> and </w:t>
      </w:r>
      <w:r w:rsidR="00575CA7">
        <w:rPr>
          <w:lang w:val="en-US"/>
        </w:rPr>
        <w:fldChar w:fldCharType="begin"/>
      </w:r>
      <w:r w:rsidR="007F5FC5">
        <w:rPr>
          <w:lang w:val="en-US"/>
        </w:rPr>
        <w:instrText xml:space="preserve"> REF _Ref326248958 \h </w:instrText>
      </w:r>
      <w:r w:rsidR="00575CA7">
        <w:rPr>
          <w:lang w:val="en-US"/>
        </w:rPr>
      </w:r>
      <w:r w:rsidR="00575CA7">
        <w:rPr>
          <w:lang w:val="en-US"/>
        </w:rPr>
        <w:fldChar w:fldCharType="separate"/>
      </w:r>
      <w:r w:rsidR="003648B8">
        <w:t xml:space="preserve">Figure </w:t>
      </w:r>
      <w:r w:rsidR="003648B8">
        <w:rPr>
          <w:noProof/>
        </w:rPr>
        <w:t>95</w:t>
      </w:r>
      <w:r w:rsidR="00575CA7">
        <w:rPr>
          <w:lang w:val="en-US"/>
        </w:rPr>
        <w:fldChar w:fldCharType="end"/>
      </w:r>
      <w:r w:rsidR="00034196">
        <w:rPr>
          <w:lang w:val="en-US"/>
        </w:rPr>
        <w:t>)</w:t>
      </w:r>
      <w:r w:rsidR="009D0E9B">
        <w:rPr>
          <w:lang w:val="en-US"/>
        </w:rPr>
        <w:t>.</w:t>
      </w:r>
      <w:r w:rsidR="00034196">
        <w:rPr>
          <w:lang w:val="en-US"/>
        </w:rPr>
        <w:t xml:space="preserve"> In contrast, highest </w:t>
      </w:r>
      <w:r w:rsidR="00C544DE">
        <w:rPr>
          <w:lang w:val="en-US"/>
        </w:rPr>
        <w:t>land-use</w:t>
      </w:r>
      <w:r w:rsidR="00034196">
        <w:rPr>
          <w:lang w:val="en-US"/>
        </w:rPr>
        <w:t xml:space="preserve"> edge </w:t>
      </w:r>
      <w:r w:rsidR="006D27F0">
        <w:rPr>
          <w:lang w:val="en-US"/>
        </w:rPr>
        <w:t>density in CLFN SA is</w:t>
      </w:r>
      <w:r w:rsidR="00034196">
        <w:rPr>
          <w:lang w:val="en-US"/>
        </w:rPr>
        <w:t xml:space="preserve"> associated with the footprints of the energy sector in the area south of CLAWR and north of the White Area (</w:t>
      </w:r>
      <w:r w:rsidR="00575CA7">
        <w:rPr>
          <w:lang w:val="en-US"/>
        </w:rPr>
        <w:fldChar w:fldCharType="begin"/>
      </w:r>
      <w:r w:rsidR="007F5FC5">
        <w:rPr>
          <w:lang w:val="en-US"/>
        </w:rPr>
        <w:instrText xml:space="preserve"> REF _Ref326249002 \h </w:instrText>
      </w:r>
      <w:r w:rsidR="00575CA7">
        <w:rPr>
          <w:lang w:val="en-US"/>
        </w:rPr>
      </w:r>
      <w:r w:rsidR="00575CA7">
        <w:rPr>
          <w:lang w:val="en-US"/>
        </w:rPr>
        <w:fldChar w:fldCharType="separate"/>
      </w:r>
      <w:r w:rsidR="003648B8">
        <w:t xml:space="preserve">Figure </w:t>
      </w:r>
      <w:r w:rsidR="003648B8">
        <w:rPr>
          <w:noProof/>
        </w:rPr>
        <w:t>96</w:t>
      </w:r>
      <w:r w:rsidR="00575CA7">
        <w:rPr>
          <w:lang w:val="en-US"/>
        </w:rPr>
        <w:fldChar w:fldCharType="end"/>
      </w:r>
      <w:r w:rsidR="007F5FC5">
        <w:rPr>
          <w:lang w:val="en-US"/>
        </w:rPr>
        <w:t xml:space="preserve">, </w:t>
      </w:r>
      <w:r w:rsidR="00575CA7">
        <w:rPr>
          <w:lang w:val="en-US"/>
        </w:rPr>
        <w:lastRenderedPageBreak/>
        <w:fldChar w:fldCharType="begin"/>
      </w:r>
      <w:r w:rsidR="00034196">
        <w:rPr>
          <w:lang w:val="en-US"/>
        </w:rPr>
        <w:instrText xml:space="preserve"> REF _Ref325629928 \h </w:instrText>
      </w:r>
      <w:r w:rsidR="00575CA7">
        <w:rPr>
          <w:lang w:val="en-US"/>
        </w:rPr>
      </w:r>
      <w:r w:rsidR="00575CA7">
        <w:rPr>
          <w:lang w:val="en-US"/>
        </w:rPr>
        <w:fldChar w:fldCharType="separate"/>
      </w:r>
      <w:r w:rsidR="003648B8">
        <w:t xml:space="preserve">Figure </w:t>
      </w:r>
      <w:r w:rsidR="003648B8">
        <w:rPr>
          <w:noProof/>
        </w:rPr>
        <w:t>97</w:t>
      </w:r>
      <w:r w:rsidR="00575CA7">
        <w:rPr>
          <w:lang w:val="en-US"/>
        </w:rPr>
        <w:fldChar w:fldCharType="end"/>
      </w:r>
      <w:r w:rsidR="007F5FC5">
        <w:rPr>
          <w:lang w:val="en-US"/>
        </w:rPr>
        <w:t xml:space="preserve">, </w:t>
      </w:r>
      <w:r w:rsidR="00575CA7">
        <w:rPr>
          <w:lang w:val="en-US"/>
        </w:rPr>
        <w:fldChar w:fldCharType="begin"/>
      </w:r>
      <w:r w:rsidR="007F5FC5">
        <w:rPr>
          <w:lang w:val="en-US"/>
        </w:rPr>
        <w:instrText xml:space="preserve"> REF _Ref326249763 \h </w:instrText>
      </w:r>
      <w:r w:rsidR="00575CA7">
        <w:rPr>
          <w:lang w:val="en-US"/>
        </w:rPr>
      </w:r>
      <w:r w:rsidR="00575CA7">
        <w:rPr>
          <w:lang w:val="en-US"/>
        </w:rPr>
        <w:fldChar w:fldCharType="separate"/>
      </w:r>
      <w:proofErr w:type="gramStart"/>
      <w:r w:rsidR="003648B8">
        <w:t>Figure</w:t>
      </w:r>
      <w:proofErr w:type="gramEnd"/>
      <w:r w:rsidR="003648B8">
        <w:t xml:space="preserve"> </w:t>
      </w:r>
      <w:r w:rsidR="003648B8">
        <w:rPr>
          <w:noProof/>
        </w:rPr>
        <w:t>98</w:t>
      </w:r>
      <w:r w:rsidR="00575CA7">
        <w:rPr>
          <w:lang w:val="en-US"/>
        </w:rPr>
        <w:fldChar w:fldCharType="end"/>
      </w:r>
      <w:r w:rsidR="00034196">
        <w:rPr>
          <w:lang w:val="en-US"/>
        </w:rPr>
        <w:t>).</w:t>
      </w:r>
      <w:r w:rsidR="007F5FC5">
        <w:rPr>
          <w:lang w:val="en-US"/>
        </w:rPr>
        <w:t xml:space="preserve"> Temporal changes to the natural landscape are illustrated in </w:t>
      </w:r>
      <w:r w:rsidR="00575CA7">
        <w:rPr>
          <w:lang w:val="en-US"/>
        </w:rPr>
        <w:fldChar w:fldCharType="begin"/>
      </w:r>
      <w:r w:rsidR="007F5FC5">
        <w:rPr>
          <w:lang w:val="en-US"/>
        </w:rPr>
        <w:instrText xml:space="preserve"> REF _Ref326249886 \h </w:instrText>
      </w:r>
      <w:r w:rsidR="00575CA7">
        <w:rPr>
          <w:lang w:val="en-US"/>
        </w:rPr>
      </w:r>
      <w:r w:rsidR="00575CA7">
        <w:rPr>
          <w:lang w:val="en-US"/>
        </w:rPr>
        <w:fldChar w:fldCharType="separate"/>
      </w:r>
      <w:r w:rsidR="003648B8">
        <w:t xml:space="preserve">Figure </w:t>
      </w:r>
      <w:r w:rsidR="003648B8">
        <w:rPr>
          <w:noProof/>
        </w:rPr>
        <w:t>99</w:t>
      </w:r>
      <w:r w:rsidR="00575CA7">
        <w:rPr>
          <w:lang w:val="en-US"/>
        </w:rPr>
        <w:fldChar w:fldCharType="end"/>
      </w:r>
      <w:r w:rsidR="00F84851">
        <w:rPr>
          <w:lang w:val="en-US"/>
        </w:rPr>
        <w:t xml:space="preserve"> and </w:t>
      </w:r>
      <w:r w:rsidR="00575CA7">
        <w:rPr>
          <w:lang w:val="en-US"/>
        </w:rPr>
        <w:fldChar w:fldCharType="begin"/>
      </w:r>
      <w:r w:rsidR="00F84851">
        <w:rPr>
          <w:lang w:val="en-US"/>
        </w:rPr>
        <w:instrText xml:space="preserve"> REF _Ref326250378 \h </w:instrText>
      </w:r>
      <w:r w:rsidR="00575CA7">
        <w:rPr>
          <w:lang w:val="en-US"/>
        </w:rPr>
      </w:r>
      <w:r w:rsidR="00575CA7">
        <w:rPr>
          <w:lang w:val="en-US"/>
        </w:rPr>
        <w:fldChar w:fldCharType="separate"/>
      </w:r>
      <w:r w:rsidR="003648B8">
        <w:t xml:space="preserve">Figure </w:t>
      </w:r>
      <w:r w:rsidR="003648B8">
        <w:rPr>
          <w:noProof/>
        </w:rPr>
        <w:t>103</w:t>
      </w:r>
      <w:r w:rsidR="00575CA7">
        <w:rPr>
          <w:lang w:val="en-US"/>
        </w:rPr>
        <w:fldChar w:fldCharType="end"/>
      </w:r>
      <w:r w:rsidR="007F5FC5">
        <w:rPr>
          <w:lang w:val="en-US"/>
        </w:rPr>
        <w:t xml:space="preserve">, and are shown as a time series in </w:t>
      </w:r>
      <w:r w:rsidR="00575CA7">
        <w:rPr>
          <w:lang w:val="en-US"/>
        </w:rPr>
        <w:fldChar w:fldCharType="begin"/>
      </w:r>
      <w:r w:rsidR="007F5FC5">
        <w:rPr>
          <w:lang w:val="en-US"/>
        </w:rPr>
        <w:instrText xml:space="preserve"> REF _Ref326249921 \h </w:instrText>
      </w:r>
      <w:r w:rsidR="00575CA7">
        <w:rPr>
          <w:lang w:val="en-US"/>
        </w:rPr>
      </w:r>
      <w:r w:rsidR="00575CA7">
        <w:rPr>
          <w:lang w:val="en-US"/>
        </w:rPr>
        <w:fldChar w:fldCharType="separate"/>
      </w:r>
      <w:r w:rsidR="003648B8">
        <w:t xml:space="preserve">Figure </w:t>
      </w:r>
      <w:r w:rsidR="003648B8">
        <w:rPr>
          <w:noProof/>
        </w:rPr>
        <w:t>100</w:t>
      </w:r>
      <w:r w:rsidR="00575CA7">
        <w:rPr>
          <w:lang w:val="en-US"/>
        </w:rPr>
        <w:fldChar w:fldCharType="end"/>
      </w:r>
      <w:r w:rsidR="007F5FC5">
        <w:rPr>
          <w:lang w:val="en-US"/>
        </w:rPr>
        <w:t>.</w:t>
      </w:r>
    </w:p>
    <w:p w:rsidR="000C6030" w:rsidRDefault="000C6030" w:rsidP="00FC4583">
      <w:pPr>
        <w:pStyle w:val="BodyText"/>
        <w:rPr>
          <w:lang w:val="en-US"/>
        </w:rPr>
      </w:pPr>
      <w:r>
        <w:rPr>
          <w:lang w:val="en-US"/>
        </w:rPr>
        <w:t>At the scale of the CLFN</w:t>
      </w:r>
      <w:r w:rsidR="00034196">
        <w:rPr>
          <w:lang w:val="en-US"/>
        </w:rPr>
        <w:t xml:space="preserve"> </w:t>
      </w:r>
      <w:r>
        <w:rPr>
          <w:lang w:val="en-US"/>
        </w:rPr>
        <w:t xml:space="preserve">SA, it is difficult to discern narrow </w:t>
      </w:r>
      <w:r w:rsidR="00C544DE">
        <w:rPr>
          <w:lang w:val="en-US"/>
        </w:rPr>
        <w:t>land-use</w:t>
      </w:r>
      <w:r>
        <w:rPr>
          <w:lang w:val="en-US"/>
        </w:rPr>
        <w:t xml:space="preserve"> features such as roads, seismic lines and pipelines</w:t>
      </w:r>
      <w:r w:rsidR="004D2239">
        <w:rPr>
          <w:lang w:val="en-US"/>
        </w:rPr>
        <w:t>, so linear features were buffered by 100 m to allow viewers to visualize their locations</w:t>
      </w:r>
      <w:r>
        <w:rPr>
          <w:lang w:val="en-US"/>
        </w:rPr>
        <w:t xml:space="preserve"> (</w:t>
      </w:r>
      <w:r w:rsidR="00575CA7">
        <w:rPr>
          <w:lang w:val="en-US"/>
        </w:rPr>
        <w:fldChar w:fldCharType="begin"/>
      </w:r>
      <w:r w:rsidR="004D2239">
        <w:rPr>
          <w:lang w:val="en-US"/>
        </w:rPr>
        <w:instrText xml:space="preserve"> REF _Ref325620811 \h </w:instrText>
      </w:r>
      <w:r w:rsidR="00575CA7">
        <w:rPr>
          <w:lang w:val="en-US"/>
        </w:rPr>
      </w:r>
      <w:r w:rsidR="00575CA7">
        <w:rPr>
          <w:lang w:val="en-US"/>
        </w:rPr>
        <w:fldChar w:fldCharType="separate"/>
      </w:r>
      <w:r w:rsidR="003648B8">
        <w:t xml:space="preserve">Figure </w:t>
      </w:r>
      <w:r w:rsidR="003648B8">
        <w:rPr>
          <w:noProof/>
        </w:rPr>
        <w:t>102</w:t>
      </w:r>
      <w:r w:rsidR="00575CA7">
        <w:rPr>
          <w:lang w:val="en-US"/>
        </w:rPr>
        <w:fldChar w:fldCharType="end"/>
      </w:r>
      <w:r>
        <w:rPr>
          <w:lang w:val="en-US"/>
        </w:rPr>
        <w:t>).</w:t>
      </w:r>
    </w:p>
    <w:p w:rsidR="000B5014" w:rsidRDefault="000B5014" w:rsidP="00FC4583">
      <w:pPr>
        <w:pStyle w:val="BodyText"/>
        <w:rPr>
          <w:lang w:val="en-US"/>
        </w:rPr>
      </w:pPr>
    </w:p>
    <w:p w:rsidR="000B5014" w:rsidRDefault="000B5014" w:rsidP="00FC4583">
      <w:pPr>
        <w:pStyle w:val="BodyText"/>
        <w:rPr>
          <w:lang w:val="en-US"/>
        </w:rPr>
      </w:pPr>
    </w:p>
    <w:p w:rsidR="000B5014" w:rsidRDefault="000B5014" w:rsidP="00FC4583">
      <w:pPr>
        <w:pStyle w:val="BodyText"/>
        <w:rPr>
          <w:lang w:val="en-US"/>
        </w:rPr>
      </w:pPr>
    </w:p>
    <w:p w:rsidR="000B5014" w:rsidRDefault="000B5014" w:rsidP="00FC4583">
      <w:pPr>
        <w:pStyle w:val="BodyText"/>
        <w:rPr>
          <w:lang w:val="en-US"/>
        </w:rPr>
      </w:pPr>
    </w:p>
    <w:p w:rsidR="000B5014" w:rsidRDefault="000B5014" w:rsidP="00FC4583">
      <w:pPr>
        <w:pStyle w:val="BodyText"/>
        <w:rPr>
          <w:lang w:val="en-US"/>
        </w:rPr>
      </w:pPr>
    </w:p>
    <w:p w:rsidR="000B5014" w:rsidRDefault="000B5014" w:rsidP="00FC4583">
      <w:pPr>
        <w:pStyle w:val="BodyText"/>
        <w:rPr>
          <w:lang w:val="en-US"/>
        </w:rPr>
      </w:pPr>
    </w:p>
    <w:p w:rsidR="000B5014" w:rsidRDefault="000B5014" w:rsidP="00FC4583">
      <w:pPr>
        <w:pStyle w:val="BodyText"/>
        <w:rPr>
          <w:lang w:val="en-US"/>
        </w:rPr>
      </w:pPr>
    </w:p>
    <w:p w:rsidR="000B5014" w:rsidRDefault="000B5014" w:rsidP="00FC4583">
      <w:pPr>
        <w:pStyle w:val="BodyText"/>
        <w:rPr>
          <w:lang w:val="en-US"/>
        </w:rPr>
      </w:pPr>
    </w:p>
    <w:p w:rsidR="000B5014" w:rsidRDefault="000B5014" w:rsidP="00FC4583">
      <w:pPr>
        <w:pStyle w:val="BodyText"/>
        <w:rPr>
          <w:lang w:val="en-US"/>
        </w:rPr>
      </w:pPr>
    </w:p>
    <w:p w:rsidR="000B5014" w:rsidRDefault="000B5014" w:rsidP="00FC4583">
      <w:pPr>
        <w:pStyle w:val="BodyText"/>
        <w:rPr>
          <w:lang w:val="en-US"/>
        </w:rPr>
      </w:pPr>
    </w:p>
    <w:p w:rsidR="000B5014" w:rsidRDefault="000B5014" w:rsidP="00FC4583">
      <w:pPr>
        <w:pStyle w:val="BodyText"/>
        <w:rPr>
          <w:lang w:val="en-US"/>
        </w:rPr>
      </w:pPr>
    </w:p>
    <w:p w:rsidR="00020D2A" w:rsidRDefault="00EA739D" w:rsidP="006401D8">
      <w:pPr>
        <w:pStyle w:val="BodyText"/>
        <w:keepNext/>
        <w:spacing w:after="0"/>
      </w:pPr>
      <w:r>
        <w:rPr>
          <w:noProof/>
          <w:lang w:val="en-US"/>
        </w:rPr>
        <w:lastRenderedPageBreak/>
        <w:drawing>
          <wp:inline distT="0" distB="0" distL="0" distR="0">
            <wp:extent cx="4774182" cy="3600000"/>
            <wp:effectExtent l="19050" t="19050" r="26418" b="1950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srcRect/>
                    <a:stretch>
                      <a:fillRect/>
                    </a:stretch>
                  </pic:blipFill>
                  <pic:spPr bwMode="auto">
                    <a:xfrm>
                      <a:off x="0" y="0"/>
                      <a:ext cx="4774182"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034E9D" w:rsidRDefault="00020D2A" w:rsidP="00020D2A">
      <w:pPr>
        <w:pStyle w:val="Caption"/>
      </w:pPr>
      <w:bookmarkStart w:id="207" w:name="_Ref326248547"/>
      <w:bookmarkStart w:id="208" w:name="_Toc338703869"/>
      <w:proofErr w:type="gramStart"/>
      <w:r>
        <w:t xml:space="preserve">Figure </w:t>
      </w:r>
      <w:fldSimple w:instr=" SEQ Figure \* ARABIC ">
        <w:r w:rsidR="00A02D22">
          <w:rPr>
            <w:noProof/>
          </w:rPr>
          <w:t>90</w:t>
        </w:r>
      </w:fldSimple>
      <w:bookmarkEnd w:id="207"/>
      <w:r>
        <w:t>.</w:t>
      </w:r>
      <w:proofErr w:type="gramEnd"/>
      <w:r>
        <w:t xml:space="preserve"> The CLFN landscape is being collectively transformed by a suite of overlapping </w:t>
      </w:r>
      <w:r w:rsidR="00C544DE">
        <w:t>land-use</w:t>
      </w:r>
      <w:r>
        <w:t>s.</w:t>
      </w:r>
      <w:bookmarkEnd w:id="208"/>
    </w:p>
    <w:p w:rsidR="00020D2A" w:rsidRDefault="00020D2A" w:rsidP="00020D2A">
      <w:pPr>
        <w:rPr>
          <w:lang w:eastAsia="en-CA"/>
        </w:rPr>
      </w:pPr>
    </w:p>
    <w:p w:rsidR="00C7447F" w:rsidRDefault="00C7447F" w:rsidP="006401D8">
      <w:pPr>
        <w:pStyle w:val="BodyText"/>
        <w:keepNext/>
        <w:spacing w:after="0"/>
      </w:pPr>
      <w:r>
        <w:rPr>
          <w:noProof/>
          <w:lang w:val="en-US"/>
        </w:rPr>
        <w:drawing>
          <wp:inline distT="0" distB="0" distL="0" distR="0">
            <wp:extent cx="4790070" cy="3604846"/>
            <wp:effectExtent l="19050" t="19050" r="10530" b="14654"/>
            <wp:docPr id="11"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pic:cNvPicPr>
                      <a:picLocks noChangeAspect="1" noChangeArrowheads="1"/>
                    </pic:cNvPicPr>
                  </pic:nvPicPr>
                  <pic:blipFill>
                    <a:blip r:embed="rId102" cstate="print"/>
                    <a:srcRect/>
                    <a:stretch>
                      <a:fillRect/>
                    </a:stretch>
                  </pic:blipFill>
                  <pic:spPr bwMode="auto">
                    <a:xfrm>
                      <a:off x="0" y="0"/>
                      <a:ext cx="4786895" cy="3602457"/>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C7447F" w:rsidRPr="00FC4583" w:rsidRDefault="00C7447F" w:rsidP="00C7447F">
      <w:pPr>
        <w:pStyle w:val="Caption"/>
        <w:rPr>
          <w:lang w:val="en-US"/>
        </w:rPr>
      </w:pPr>
      <w:bookmarkStart w:id="209" w:name="_Ref325572382"/>
      <w:bookmarkStart w:id="210" w:name="_Toc338703870"/>
      <w:proofErr w:type="gramStart"/>
      <w:r>
        <w:t xml:space="preserve">Figure </w:t>
      </w:r>
      <w:fldSimple w:instr=" SEQ Figure \* ARABIC ">
        <w:r w:rsidR="00A02D22">
          <w:rPr>
            <w:noProof/>
          </w:rPr>
          <w:t>91</w:t>
        </w:r>
      </w:fldSimple>
      <w:bookmarkEnd w:id="209"/>
      <w:r>
        <w:t>.</w:t>
      </w:r>
      <w:proofErr w:type="gramEnd"/>
      <w:r>
        <w:t xml:space="preserve"> </w:t>
      </w:r>
      <w:proofErr w:type="gramStart"/>
      <w:r>
        <w:t>Current (2012) area in landscape and footprint types on CLFN</w:t>
      </w:r>
      <w:r w:rsidR="004C53F9">
        <w:t xml:space="preserve"> SA</w:t>
      </w:r>
      <w:r>
        <w:t>.</w:t>
      </w:r>
      <w:bookmarkEnd w:id="210"/>
      <w:proofErr w:type="gramEnd"/>
    </w:p>
    <w:p w:rsidR="00EA739D" w:rsidRDefault="00EA739D" w:rsidP="00020D2A">
      <w:pPr>
        <w:keepNext/>
        <w:rPr>
          <w:color w:val="FF0000"/>
        </w:rPr>
      </w:pPr>
    </w:p>
    <w:p w:rsidR="00020D2A" w:rsidRDefault="00020D2A" w:rsidP="00020D2A">
      <w:pPr>
        <w:rPr>
          <w:lang w:eastAsia="en-CA"/>
        </w:rPr>
      </w:pPr>
    </w:p>
    <w:p w:rsidR="00020D2A" w:rsidRDefault="0045422A" w:rsidP="00020D2A">
      <w:pPr>
        <w:keepNext/>
      </w:pPr>
      <w:r>
        <w:rPr>
          <w:noProof/>
          <w:lang w:val="en-US"/>
        </w:rPr>
        <w:lastRenderedPageBreak/>
        <w:drawing>
          <wp:inline distT="0" distB="0" distL="0" distR="0">
            <wp:extent cx="4802661" cy="3600000"/>
            <wp:effectExtent l="19050" t="19050" r="16989" b="1950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03" cstate="print"/>
                    <a:srcRect/>
                    <a:stretch>
                      <a:fillRect/>
                    </a:stretch>
                  </pic:blipFill>
                  <pic:spPr bwMode="auto">
                    <a:xfrm>
                      <a:off x="0" y="0"/>
                      <a:ext cx="4802661"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020D2A" w:rsidRDefault="00020D2A" w:rsidP="00020D2A">
      <w:pPr>
        <w:pStyle w:val="Caption"/>
      </w:pPr>
      <w:bookmarkStart w:id="211" w:name="_Ref326248802"/>
      <w:bookmarkStart w:id="212" w:name="_Toc338703871"/>
      <w:proofErr w:type="gramStart"/>
      <w:r>
        <w:t xml:space="preserve">Figure </w:t>
      </w:r>
      <w:fldSimple w:instr=" SEQ Figure \* ARABIC ">
        <w:r w:rsidR="00A02D22">
          <w:rPr>
            <w:noProof/>
          </w:rPr>
          <w:t>92</w:t>
        </w:r>
      </w:fldSimple>
      <w:bookmarkEnd w:id="211"/>
      <w:r>
        <w:t>.</w:t>
      </w:r>
      <w:proofErr w:type="gramEnd"/>
      <w:r>
        <w:t xml:space="preserve"> </w:t>
      </w:r>
      <w:proofErr w:type="gramStart"/>
      <w:r>
        <w:t xml:space="preserve">Examples of key </w:t>
      </w:r>
      <w:r w:rsidR="00C544DE">
        <w:t>land-use</w:t>
      </w:r>
      <w:r>
        <w:t xml:space="preserve"> footprints on CLFN SA.</w:t>
      </w:r>
      <w:bookmarkEnd w:id="212"/>
      <w:proofErr w:type="gramEnd"/>
    </w:p>
    <w:p w:rsidR="005845C4" w:rsidRPr="005845C4" w:rsidRDefault="005845C4" w:rsidP="005845C4">
      <w:pPr>
        <w:rPr>
          <w:lang w:eastAsia="en-CA"/>
        </w:rPr>
      </w:pPr>
    </w:p>
    <w:p w:rsidR="00C7447F" w:rsidRDefault="00C7447F" w:rsidP="00020D2A">
      <w:pPr>
        <w:pStyle w:val="Caption"/>
      </w:pPr>
      <w:r w:rsidRPr="00C7447F">
        <w:rPr>
          <w:noProof/>
          <w:lang w:val="en-US" w:eastAsia="en-US"/>
        </w:rPr>
        <w:drawing>
          <wp:inline distT="0" distB="0" distL="0" distR="0">
            <wp:extent cx="4736009" cy="3600000"/>
            <wp:effectExtent l="19050" t="19050" r="26491" b="19500"/>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cstate="print"/>
                    <a:srcRect/>
                    <a:stretch>
                      <a:fillRect/>
                    </a:stretch>
                  </pic:blipFill>
                  <pic:spPr bwMode="auto">
                    <a:xfrm>
                      <a:off x="0" y="0"/>
                      <a:ext cx="4736009"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020D2A" w:rsidRDefault="00020D2A" w:rsidP="00020D2A">
      <w:pPr>
        <w:pStyle w:val="Caption"/>
      </w:pPr>
      <w:bookmarkStart w:id="213" w:name="_Ref326248804"/>
      <w:bookmarkStart w:id="214" w:name="_Toc338703872"/>
      <w:proofErr w:type="gramStart"/>
      <w:r>
        <w:t xml:space="preserve">Figure </w:t>
      </w:r>
      <w:fldSimple w:instr=" SEQ Figure \* ARABIC ">
        <w:r w:rsidR="00A02D22">
          <w:rPr>
            <w:noProof/>
          </w:rPr>
          <w:t>93</w:t>
        </w:r>
      </w:fldSimple>
      <w:bookmarkEnd w:id="213"/>
      <w:r>
        <w:t>.</w:t>
      </w:r>
      <w:proofErr w:type="gramEnd"/>
      <w:r>
        <w:t xml:space="preserve"> Examples of </w:t>
      </w:r>
      <w:r w:rsidR="00C544DE">
        <w:t>land-use</w:t>
      </w:r>
      <w:r>
        <w:t xml:space="preserve"> footprints on CLFN SA as clipped from Google Earth</w:t>
      </w:r>
      <w:r w:rsidR="00171054">
        <w:t xml:space="preserve"> (www.earth.google.com</w:t>
      </w:r>
      <w:r w:rsidR="001419AF">
        <w:t>)</w:t>
      </w:r>
      <w:r>
        <w:t>.</w:t>
      </w:r>
      <w:bookmarkEnd w:id="214"/>
    </w:p>
    <w:p w:rsidR="00020D2A" w:rsidRDefault="00020D2A" w:rsidP="00020D2A">
      <w:pPr>
        <w:rPr>
          <w:lang w:eastAsia="en-CA"/>
        </w:rPr>
      </w:pPr>
    </w:p>
    <w:p w:rsidR="00C7447F" w:rsidRDefault="00020D2A" w:rsidP="00C7447F">
      <w:pPr>
        <w:keepNext/>
      </w:pPr>
      <w:r>
        <w:rPr>
          <w:noProof/>
          <w:lang w:val="en-US"/>
        </w:rPr>
        <w:lastRenderedPageBreak/>
        <w:drawing>
          <wp:inline distT="0" distB="0" distL="0" distR="0">
            <wp:extent cx="4773232" cy="3600000"/>
            <wp:effectExtent l="19050" t="19050" r="27368" b="195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cstate="print"/>
                    <a:srcRect/>
                    <a:stretch>
                      <a:fillRect/>
                    </a:stretch>
                  </pic:blipFill>
                  <pic:spPr bwMode="auto">
                    <a:xfrm>
                      <a:off x="0" y="0"/>
                      <a:ext cx="4773232"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020D2A" w:rsidRDefault="00C7447F" w:rsidP="00C7447F">
      <w:pPr>
        <w:pStyle w:val="Caption"/>
      </w:pPr>
      <w:bookmarkStart w:id="215" w:name="_Ref325629919"/>
      <w:bookmarkStart w:id="216" w:name="_Toc338703873"/>
      <w:proofErr w:type="gramStart"/>
      <w:r>
        <w:t xml:space="preserve">Figure </w:t>
      </w:r>
      <w:fldSimple w:instr=" SEQ Figure \* ARABIC ">
        <w:r w:rsidR="00A02D22">
          <w:rPr>
            <w:noProof/>
          </w:rPr>
          <w:t>94</w:t>
        </w:r>
      </w:fldSimple>
      <w:bookmarkEnd w:id="215"/>
      <w:r>
        <w:t>.</w:t>
      </w:r>
      <w:proofErr w:type="gramEnd"/>
      <w:r>
        <w:t xml:space="preserve"> Temporal changes in anthropogenic area </w:t>
      </w:r>
      <w:r w:rsidRPr="00F931AB">
        <w:t>in Alberta and CLFN SA.</w:t>
      </w:r>
      <w:bookmarkEnd w:id="216"/>
    </w:p>
    <w:p w:rsidR="005845C4" w:rsidRPr="005845C4" w:rsidRDefault="005845C4" w:rsidP="005845C4">
      <w:pPr>
        <w:rPr>
          <w:lang w:eastAsia="en-CA"/>
        </w:rPr>
      </w:pPr>
    </w:p>
    <w:p w:rsidR="00C23C62" w:rsidRDefault="00C23C62" w:rsidP="00C23C62">
      <w:pPr>
        <w:keepNext/>
      </w:pPr>
      <w:r>
        <w:rPr>
          <w:noProof/>
          <w:lang w:val="en-US"/>
        </w:rPr>
        <w:drawing>
          <wp:inline distT="0" distB="0" distL="0" distR="0">
            <wp:extent cx="4788918" cy="3600000"/>
            <wp:effectExtent l="19050" t="19050" r="11682" b="1950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06" cstate="print"/>
                    <a:srcRect/>
                    <a:stretch>
                      <a:fillRect/>
                    </a:stretch>
                  </pic:blipFill>
                  <pic:spPr bwMode="auto">
                    <a:xfrm>
                      <a:off x="0" y="0"/>
                      <a:ext cx="4788918"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C23C62" w:rsidRPr="00C23C62" w:rsidRDefault="00C23C62" w:rsidP="00C23C62">
      <w:pPr>
        <w:pStyle w:val="Caption"/>
      </w:pPr>
      <w:bookmarkStart w:id="217" w:name="_Ref326248958"/>
      <w:bookmarkStart w:id="218" w:name="_Toc338703874"/>
      <w:proofErr w:type="gramStart"/>
      <w:r>
        <w:t xml:space="preserve">Figure </w:t>
      </w:r>
      <w:fldSimple w:instr=" SEQ Figure \* ARABIC ">
        <w:r w:rsidR="00A02D22">
          <w:rPr>
            <w:noProof/>
          </w:rPr>
          <w:t>95</w:t>
        </w:r>
      </w:fldSimple>
      <w:bookmarkEnd w:id="217"/>
      <w:r w:rsidR="001419AF">
        <w:t>.</w:t>
      </w:r>
      <w:proofErr w:type="gramEnd"/>
      <w:r w:rsidR="001419AF">
        <w:t xml:space="preserve"> </w:t>
      </w:r>
      <w:proofErr w:type="gramStart"/>
      <w:r w:rsidR="001419AF">
        <w:t>Historical t</w:t>
      </w:r>
      <w:r>
        <w:t>ime series (1910 - 2010) of anthropogenic area in CLFN SA</w:t>
      </w:r>
      <w:r w:rsidR="001419AF">
        <w:t>.</w:t>
      </w:r>
      <w:bookmarkEnd w:id="218"/>
      <w:proofErr w:type="gramEnd"/>
    </w:p>
    <w:p w:rsidR="00020D2A" w:rsidRDefault="00020D2A" w:rsidP="00020D2A">
      <w:pPr>
        <w:rPr>
          <w:lang w:eastAsia="en-CA"/>
        </w:rPr>
      </w:pPr>
    </w:p>
    <w:p w:rsidR="00EF5E33" w:rsidRDefault="00EF5E33" w:rsidP="00EF5E33">
      <w:pPr>
        <w:keepNext/>
      </w:pPr>
      <w:r>
        <w:rPr>
          <w:noProof/>
          <w:lang w:val="en-US"/>
        </w:rPr>
        <w:lastRenderedPageBreak/>
        <w:drawing>
          <wp:inline distT="0" distB="0" distL="0" distR="0">
            <wp:extent cx="4764511" cy="3600000"/>
            <wp:effectExtent l="19050" t="19050" r="17039" b="1950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07" cstate="print"/>
                    <a:srcRect/>
                    <a:stretch>
                      <a:fillRect/>
                    </a:stretch>
                  </pic:blipFill>
                  <pic:spPr bwMode="auto">
                    <a:xfrm>
                      <a:off x="0" y="0"/>
                      <a:ext cx="4764511"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EF5E33" w:rsidRDefault="00EF5E33" w:rsidP="00EF5E33">
      <w:pPr>
        <w:pStyle w:val="Caption"/>
      </w:pPr>
      <w:bookmarkStart w:id="219" w:name="_Ref326249002"/>
      <w:bookmarkStart w:id="220" w:name="_Toc338703875"/>
      <w:proofErr w:type="gramStart"/>
      <w:r>
        <w:t xml:space="preserve">Figure </w:t>
      </w:r>
      <w:fldSimple w:instr=" SEQ Figure \* ARABIC ">
        <w:r w:rsidR="00A02D22">
          <w:rPr>
            <w:noProof/>
          </w:rPr>
          <w:t>96</w:t>
        </w:r>
      </w:fldSimple>
      <w:bookmarkEnd w:id="219"/>
      <w:r>
        <w:t>.</w:t>
      </w:r>
      <w:proofErr w:type="gramEnd"/>
      <w:r>
        <w:t xml:space="preserve"> </w:t>
      </w:r>
      <w:proofErr w:type="gramStart"/>
      <w:r>
        <w:t xml:space="preserve">Current and Cumulative </w:t>
      </w:r>
      <w:r w:rsidR="00C544DE">
        <w:t>Land-use</w:t>
      </w:r>
      <w:r>
        <w:t xml:space="preserve"> Edge on CLFN SA as of 2012.</w:t>
      </w:r>
      <w:bookmarkEnd w:id="220"/>
      <w:proofErr w:type="gramEnd"/>
    </w:p>
    <w:p w:rsidR="005845C4" w:rsidRPr="005845C4" w:rsidRDefault="005845C4" w:rsidP="005845C4">
      <w:pPr>
        <w:rPr>
          <w:lang w:eastAsia="en-CA"/>
        </w:rPr>
      </w:pPr>
    </w:p>
    <w:p w:rsidR="00C7447F" w:rsidRDefault="00020D2A" w:rsidP="00C7447F">
      <w:pPr>
        <w:keepNext/>
      </w:pPr>
      <w:r>
        <w:rPr>
          <w:noProof/>
          <w:lang w:val="en-US"/>
        </w:rPr>
        <w:drawing>
          <wp:inline distT="0" distB="0" distL="0" distR="0">
            <wp:extent cx="4780724" cy="3600000"/>
            <wp:effectExtent l="19050" t="19050" r="19876" b="195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8" cstate="print"/>
                    <a:srcRect/>
                    <a:stretch>
                      <a:fillRect/>
                    </a:stretch>
                  </pic:blipFill>
                  <pic:spPr bwMode="auto">
                    <a:xfrm>
                      <a:off x="0" y="0"/>
                      <a:ext cx="4780724"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020D2A" w:rsidRDefault="00C7447F" w:rsidP="00C7447F">
      <w:pPr>
        <w:pStyle w:val="Caption"/>
      </w:pPr>
      <w:bookmarkStart w:id="221" w:name="_Ref325629928"/>
      <w:bookmarkStart w:id="222" w:name="_Toc338703876"/>
      <w:proofErr w:type="gramStart"/>
      <w:r>
        <w:t xml:space="preserve">Figure </w:t>
      </w:r>
      <w:fldSimple w:instr=" SEQ Figure \* ARABIC ">
        <w:r w:rsidR="00A02D22">
          <w:rPr>
            <w:noProof/>
          </w:rPr>
          <w:t>97</w:t>
        </w:r>
      </w:fldSimple>
      <w:bookmarkEnd w:id="221"/>
      <w:r>
        <w:t>.</w:t>
      </w:r>
      <w:proofErr w:type="gramEnd"/>
      <w:r>
        <w:t xml:space="preserve"> Temporal changes in footprint edge density (km/km</w:t>
      </w:r>
      <w:r w:rsidRPr="00034196">
        <w:rPr>
          <w:vertAlign w:val="superscript"/>
        </w:rPr>
        <w:t>2</w:t>
      </w:r>
      <w:r>
        <w:t xml:space="preserve">) </w:t>
      </w:r>
      <w:r w:rsidRPr="0085570B">
        <w:t>in Alberta and CLFN SA.</w:t>
      </w:r>
      <w:bookmarkEnd w:id="222"/>
    </w:p>
    <w:p w:rsidR="00EF5E33" w:rsidRPr="00EF5E33" w:rsidRDefault="00EF5E33" w:rsidP="00EF5E33">
      <w:pPr>
        <w:rPr>
          <w:lang w:eastAsia="en-CA"/>
        </w:rPr>
      </w:pPr>
    </w:p>
    <w:p w:rsidR="009D5FFF" w:rsidRDefault="009D5FFF" w:rsidP="009D5FFF">
      <w:pPr>
        <w:keepNext/>
      </w:pPr>
      <w:r>
        <w:rPr>
          <w:noProof/>
          <w:lang w:val="en-US"/>
        </w:rPr>
        <w:lastRenderedPageBreak/>
        <w:drawing>
          <wp:inline distT="0" distB="0" distL="0" distR="0">
            <wp:extent cx="4763150" cy="3600000"/>
            <wp:effectExtent l="19050" t="19050" r="18400" b="1950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09" cstate="print"/>
                    <a:srcRect/>
                    <a:stretch>
                      <a:fillRect/>
                    </a:stretch>
                  </pic:blipFill>
                  <pic:spPr bwMode="auto">
                    <a:xfrm>
                      <a:off x="0" y="0"/>
                      <a:ext cx="4763150"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9D5FFF" w:rsidRPr="009D5FFF" w:rsidRDefault="009D5FFF" w:rsidP="009D5FFF">
      <w:pPr>
        <w:pStyle w:val="Caption"/>
      </w:pPr>
      <w:bookmarkStart w:id="223" w:name="_Ref326249763"/>
      <w:bookmarkStart w:id="224" w:name="_Toc338703877"/>
      <w:proofErr w:type="gramStart"/>
      <w:r>
        <w:t xml:space="preserve">Figure </w:t>
      </w:r>
      <w:fldSimple w:instr=" SEQ Figure \* ARABIC ">
        <w:r w:rsidR="00A02D22">
          <w:rPr>
            <w:noProof/>
          </w:rPr>
          <w:t>98</w:t>
        </w:r>
      </w:fldSimple>
      <w:bookmarkEnd w:id="223"/>
      <w:r w:rsidR="001419AF">
        <w:t>.</w:t>
      </w:r>
      <w:proofErr w:type="gramEnd"/>
      <w:r w:rsidR="001419AF">
        <w:t xml:space="preserve"> Historical time series (1910-2010) of </w:t>
      </w:r>
      <w:r w:rsidR="00C544DE">
        <w:t>land-use</w:t>
      </w:r>
      <w:r w:rsidR="001419AF">
        <w:t xml:space="preserve"> e</w:t>
      </w:r>
      <w:r>
        <w:t>dge density in CLFN SA.</w:t>
      </w:r>
      <w:bookmarkEnd w:id="224"/>
    </w:p>
    <w:p w:rsidR="00C7447F" w:rsidRDefault="00C7447F" w:rsidP="00020D2A">
      <w:pPr>
        <w:rPr>
          <w:lang w:eastAsia="en-CA"/>
        </w:rPr>
      </w:pPr>
    </w:p>
    <w:p w:rsidR="00C7447F" w:rsidRDefault="00C7447F" w:rsidP="00C7447F">
      <w:pPr>
        <w:keepNext/>
      </w:pPr>
      <w:r>
        <w:rPr>
          <w:noProof/>
          <w:lang w:val="en-US"/>
        </w:rPr>
        <w:drawing>
          <wp:inline distT="0" distB="0" distL="0" distR="0">
            <wp:extent cx="4737991" cy="3600000"/>
            <wp:effectExtent l="19050" t="19050" r="24509" b="19500"/>
            <wp:docPr id="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0" cstate="print"/>
                    <a:srcRect/>
                    <a:stretch>
                      <a:fillRect/>
                    </a:stretch>
                  </pic:blipFill>
                  <pic:spPr bwMode="auto">
                    <a:xfrm>
                      <a:off x="0" y="0"/>
                      <a:ext cx="4737991"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C7447F" w:rsidRDefault="00C7447F" w:rsidP="00C7447F">
      <w:pPr>
        <w:pStyle w:val="Caption"/>
      </w:pPr>
      <w:bookmarkStart w:id="225" w:name="_Ref326249886"/>
      <w:bookmarkStart w:id="226" w:name="_Toc338703878"/>
      <w:proofErr w:type="gramStart"/>
      <w:r>
        <w:t xml:space="preserve">Figure </w:t>
      </w:r>
      <w:fldSimple w:instr=" SEQ Figure \* ARABIC ">
        <w:r w:rsidR="00A02D22">
          <w:rPr>
            <w:noProof/>
          </w:rPr>
          <w:t>99</w:t>
        </w:r>
      </w:fldSimple>
      <w:bookmarkEnd w:id="225"/>
      <w:r>
        <w:t>.</w:t>
      </w:r>
      <w:proofErr w:type="gramEnd"/>
      <w:r>
        <w:t xml:space="preserve"> Temporal changes in natural landscapes in Alberta and CLFN SA.</w:t>
      </w:r>
      <w:bookmarkEnd w:id="226"/>
    </w:p>
    <w:p w:rsidR="00C23C62" w:rsidRDefault="00C23C62" w:rsidP="00C23C62">
      <w:pPr>
        <w:rPr>
          <w:lang w:eastAsia="en-CA"/>
        </w:rPr>
      </w:pPr>
    </w:p>
    <w:p w:rsidR="00C23C62" w:rsidRDefault="00C23C62" w:rsidP="00C23C62">
      <w:pPr>
        <w:keepNext/>
      </w:pPr>
      <w:r>
        <w:rPr>
          <w:noProof/>
          <w:lang w:val="en-US"/>
        </w:rPr>
        <w:lastRenderedPageBreak/>
        <w:drawing>
          <wp:inline distT="0" distB="0" distL="0" distR="0">
            <wp:extent cx="4764512" cy="3600000"/>
            <wp:effectExtent l="19050" t="19050" r="17038" b="1950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11" cstate="print"/>
                    <a:srcRect/>
                    <a:stretch>
                      <a:fillRect/>
                    </a:stretch>
                  </pic:blipFill>
                  <pic:spPr bwMode="auto">
                    <a:xfrm>
                      <a:off x="0" y="0"/>
                      <a:ext cx="4764512"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C23C62" w:rsidRPr="00C23C62" w:rsidRDefault="00C23C62" w:rsidP="00C23C62">
      <w:pPr>
        <w:pStyle w:val="Caption"/>
      </w:pPr>
      <w:bookmarkStart w:id="227" w:name="_Ref326249921"/>
      <w:bookmarkStart w:id="228" w:name="_Toc338703879"/>
      <w:proofErr w:type="gramStart"/>
      <w:r>
        <w:t xml:space="preserve">Figure </w:t>
      </w:r>
      <w:fldSimple w:instr=" SEQ Figure \* ARABIC ">
        <w:r w:rsidR="00A02D22">
          <w:rPr>
            <w:noProof/>
          </w:rPr>
          <w:t>100</w:t>
        </w:r>
      </w:fldSimple>
      <w:bookmarkEnd w:id="227"/>
      <w:r w:rsidR="001419AF">
        <w:t>.</w:t>
      </w:r>
      <w:proofErr w:type="gramEnd"/>
      <w:r w:rsidR="001419AF">
        <w:t xml:space="preserve"> </w:t>
      </w:r>
      <w:proofErr w:type="gramStart"/>
      <w:r w:rsidR="001419AF">
        <w:t>Historical t</w:t>
      </w:r>
      <w:r>
        <w:t>ime series (1910-2010) of natural area in CLFN SA.</w:t>
      </w:r>
      <w:bookmarkEnd w:id="228"/>
      <w:proofErr w:type="gramEnd"/>
    </w:p>
    <w:p w:rsidR="00FC4583" w:rsidRDefault="00EE75A9" w:rsidP="006401D8">
      <w:pPr>
        <w:pStyle w:val="Heading1"/>
        <w:numPr>
          <w:ilvl w:val="0"/>
          <w:numId w:val="0"/>
        </w:numPr>
        <w:spacing w:before="0" w:after="0"/>
      </w:pPr>
      <w:r w:rsidRPr="00EE75A9">
        <w:rPr>
          <w:rFonts w:cs="Arial"/>
          <w:caps w:val="0"/>
          <w:noProof/>
          <w:kern w:val="0"/>
          <w:sz w:val="32"/>
          <w:szCs w:val="32"/>
        </w:rPr>
        <w:lastRenderedPageBreak/>
        <w:drawing>
          <wp:inline distT="0" distB="0" distL="0" distR="0">
            <wp:extent cx="5486400" cy="7100047"/>
            <wp:effectExtent l="38100" t="19050" r="19050" b="24653"/>
            <wp:docPr id="748" name="Picture 26" descr="C:\Users\Brad\AppData\Local\Microsoft\Windows\Temporary Internet Files\Content.Outlook\GXZ0MIL5\CLFN LT Types Formal Map May 23-201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rad\AppData\Local\Microsoft\Windows\Temporary Internet Files\Content.Outlook\GXZ0MIL5\CLFN LT Types Formal Map May 23-2012 (2).png"/>
                    <pic:cNvPicPr>
                      <a:picLocks noChangeAspect="1" noChangeArrowheads="1"/>
                    </pic:cNvPicPr>
                  </pic:nvPicPr>
                  <pic:blipFill>
                    <a:blip r:embed="rId112" cstate="print"/>
                    <a:srcRect/>
                    <a:stretch>
                      <a:fillRect/>
                    </a:stretch>
                  </pic:blipFill>
                  <pic:spPr bwMode="auto">
                    <a:xfrm>
                      <a:off x="0" y="0"/>
                      <a:ext cx="5486400" cy="7100047"/>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FC4583" w:rsidRDefault="00FC4583" w:rsidP="00FC4583">
      <w:pPr>
        <w:pStyle w:val="Caption"/>
      </w:pPr>
      <w:bookmarkStart w:id="229" w:name="_Ref325572786"/>
      <w:bookmarkStart w:id="230" w:name="_Toc338703880"/>
      <w:proofErr w:type="gramStart"/>
      <w:r>
        <w:t xml:space="preserve">Figure </w:t>
      </w:r>
      <w:fldSimple w:instr=" SEQ Figure \* ARABIC ">
        <w:r w:rsidR="00A02D22">
          <w:rPr>
            <w:noProof/>
          </w:rPr>
          <w:t>101</w:t>
        </w:r>
      </w:fldSimple>
      <w:bookmarkEnd w:id="229"/>
      <w:r>
        <w:t>.</w:t>
      </w:r>
      <w:proofErr w:type="gramEnd"/>
      <w:r>
        <w:t xml:space="preserve"> Current </w:t>
      </w:r>
      <w:r w:rsidR="0057286C">
        <w:t xml:space="preserve">(2012) landscape types </w:t>
      </w:r>
      <w:r>
        <w:t xml:space="preserve">in </w:t>
      </w:r>
      <w:r w:rsidR="007D778D">
        <w:t xml:space="preserve">CLFN SA </w:t>
      </w:r>
      <w:r w:rsidR="0057286C">
        <w:t>illustrating the prevalence of croplands in the southern reaches of the study area</w:t>
      </w:r>
      <w:r>
        <w:t>.</w:t>
      </w:r>
      <w:bookmarkEnd w:id="230"/>
    </w:p>
    <w:p w:rsidR="007953C7" w:rsidRDefault="007953C7" w:rsidP="007953C7">
      <w:pPr>
        <w:pStyle w:val="BodyText"/>
      </w:pPr>
    </w:p>
    <w:p w:rsidR="00C25FF2" w:rsidRDefault="00C25FF2" w:rsidP="006401D8">
      <w:pPr>
        <w:pStyle w:val="BodyText"/>
        <w:keepNext/>
        <w:spacing w:after="0"/>
      </w:pPr>
      <w:r>
        <w:rPr>
          <w:noProof/>
          <w:lang w:val="en-US"/>
        </w:rPr>
        <w:lastRenderedPageBreak/>
        <w:drawing>
          <wp:inline distT="0" distB="0" distL="0" distR="0">
            <wp:extent cx="5486400" cy="7100047"/>
            <wp:effectExtent l="38100" t="19050" r="19050" b="24653"/>
            <wp:docPr id="26" name="Picture 30" descr="C:\Users\Brad\AppData\Local\Microsoft\Windows\Temporary Internet Files\Content.Outlook\GXZ0MIL5\CLFN Buffered WHITE FT Types Formal Map No CLAWR May 23-201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Brad\AppData\Local\Microsoft\Windows\Temporary Internet Files\Content.Outlook\GXZ0MIL5\CLFN Buffered WHITE FT Types Formal Map No CLAWR May 23-2012 (2).png"/>
                    <pic:cNvPicPr>
                      <a:picLocks noChangeAspect="1" noChangeArrowheads="1"/>
                    </pic:cNvPicPr>
                  </pic:nvPicPr>
                  <pic:blipFill>
                    <a:blip r:embed="rId113" cstate="print"/>
                    <a:srcRect/>
                    <a:stretch>
                      <a:fillRect/>
                    </a:stretch>
                  </pic:blipFill>
                  <pic:spPr bwMode="auto">
                    <a:xfrm>
                      <a:off x="0" y="0"/>
                      <a:ext cx="5486400" cy="7100047"/>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C25FF2" w:rsidRDefault="00C25FF2" w:rsidP="00C25FF2">
      <w:pPr>
        <w:pStyle w:val="Caption"/>
      </w:pPr>
      <w:bookmarkStart w:id="231" w:name="_Ref325620811"/>
      <w:bookmarkStart w:id="232" w:name="_Toc338703881"/>
      <w:proofErr w:type="gramStart"/>
      <w:r>
        <w:t xml:space="preserve">Figure </w:t>
      </w:r>
      <w:fldSimple w:instr=" SEQ Figure \* ARABIC ">
        <w:r w:rsidR="00A02D22">
          <w:rPr>
            <w:noProof/>
          </w:rPr>
          <w:t>102</w:t>
        </w:r>
      </w:fldSimple>
      <w:bookmarkEnd w:id="231"/>
      <w:r>
        <w:t>.</w:t>
      </w:r>
      <w:proofErr w:type="gramEnd"/>
      <w:r>
        <w:t xml:space="preserve"> Buffered anthropogenic footprint in CLFN</w:t>
      </w:r>
      <w:r w:rsidR="007D778D">
        <w:t xml:space="preserve"> SA</w:t>
      </w:r>
      <w:r>
        <w:t xml:space="preserve">. </w:t>
      </w:r>
      <w:proofErr w:type="gramStart"/>
      <w:r>
        <w:t>CLAWR not shown in white</w:t>
      </w:r>
      <w:r w:rsidR="005845C4">
        <w:t>.</w:t>
      </w:r>
      <w:bookmarkEnd w:id="232"/>
      <w:proofErr w:type="gramEnd"/>
    </w:p>
    <w:p w:rsidR="00C46154" w:rsidRDefault="00C46154" w:rsidP="000A2C5A">
      <w:pPr>
        <w:pStyle w:val="BodyText"/>
        <w:keepNext/>
        <w:spacing w:after="0"/>
      </w:pPr>
    </w:p>
    <w:p w:rsidR="00C46154" w:rsidRDefault="00C46154" w:rsidP="000A2C5A">
      <w:pPr>
        <w:pStyle w:val="BodyText"/>
        <w:keepNext/>
        <w:spacing w:after="0"/>
      </w:pPr>
    </w:p>
    <w:p w:rsidR="00987381" w:rsidRDefault="007953C7" w:rsidP="000A2C5A">
      <w:pPr>
        <w:pStyle w:val="BodyText"/>
        <w:keepNext/>
        <w:spacing w:after="0"/>
      </w:pPr>
      <w:r>
        <w:rPr>
          <w:noProof/>
          <w:lang w:val="en-US"/>
        </w:rPr>
        <w:drawing>
          <wp:inline distT="0" distB="0" distL="0" distR="0">
            <wp:extent cx="5486400" cy="7100047"/>
            <wp:effectExtent l="19050" t="0" r="0" b="0"/>
            <wp:docPr id="749" name="Picture 28" descr="C:\Users\Brad\AppData\Local\Microsoft\Windows\Temporary Internet Files\Content.Outlook\GXZ0MIL5\CLFN Buffered WHITE FT Types Formal Map May 23-201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rad\AppData\Local\Microsoft\Windows\Temporary Internet Files\Content.Outlook\GXZ0MIL5\CLFN Buffered WHITE FT Types Formal Map May 23-2012 (2).png"/>
                    <pic:cNvPicPr>
                      <a:picLocks noChangeAspect="1" noChangeArrowheads="1"/>
                    </pic:cNvPicPr>
                  </pic:nvPicPr>
                  <pic:blipFill>
                    <a:blip r:embed="rId114" cstate="print"/>
                    <a:srcRect/>
                    <a:stretch>
                      <a:fillRect/>
                    </a:stretch>
                  </pic:blipFill>
                  <pic:spPr bwMode="auto">
                    <a:xfrm>
                      <a:off x="0" y="0"/>
                      <a:ext cx="5486400" cy="7100047"/>
                    </a:xfrm>
                    <a:prstGeom prst="rect">
                      <a:avLst/>
                    </a:prstGeom>
                    <a:noFill/>
                    <a:ln w="9525">
                      <a:noFill/>
                      <a:miter lim="800000"/>
                      <a:headEnd/>
                      <a:tailEnd/>
                    </a:ln>
                  </pic:spPr>
                </pic:pic>
              </a:graphicData>
            </a:graphic>
          </wp:inline>
        </w:drawing>
      </w:r>
    </w:p>
    <w:p w:rsidR="007953C7" w:rsidRDefault="00987381" w:rsidP="00987381">
      <w:pPr>
        <w:pStyle w:val="Caption"/>
      </w:pPr>
      <w:bookmarkStart w:id="233" w:name="_Ref326250378"/>
      <w:bookmarkStart w:id="234" w:name="_Toc338703882"/>
      <w:proofErr w:type="gramStart"/>
      <w:r>
        <w:t xml:space="preserve">Figure </w:t>
      </w:r>
      <w:fldSimple w:instr=" SEQ Figure \* ARABIC ">
        <w:r w:rsidR="00A02D22">
          <w:rPr>
            <w:noProof/>
          </w:rPr>
          <w:t>103</w:t>
        </w:r>
      </w:fldSimple>
      <w:bookmarkEnd w:id="233"/>
      <w:r>
        <w:t>.</w:t>
      </w:r>
      <w:proofErr w:type="gramEnd"/>
      <w:r>
        <w:t xml:space="preserve"> </w:t>
      </w:r>
      <w:proofErr w:type="gramStart"/>
      <w:r>
        <w:t xml:space="preserve">Cumulative loss of natural landscape in CLFN </w:t>
      </w:r>
      <w:r w:rsidR="007D778D">
        <w:t xml:space="preserve">SA </w:t>
      </w:r>
      <w:r>
        <w:t xml:space="preserve">from </w:t>
      </w:r>
      <w:r w:rsidR="00C544DE">
        <w:t>land-use</w:t>
      </w:r>
      <w:r>
        <w:t xml:space="preserve"> footprint.</w:t>
      </w:r>
      <w:proofErr w:type="gramEnd"/>
      <w:r>
        <w:t xml:space="preserve"> 100 m buffer placed on linear and curvilinear features.</w:t>
      </w:r>
      <w:r w:rsidR="005845C4">
        <w:t xml:space="preserve"> </w:t>
      </w:r>
      <w:proofErr w:type="gramStart"/>
      <w:r w:rsidR="005845C4">
        <w:t>CLAWR shown in white.</w:t>
      </w:r>
      <w:bookmarkEnd w:id="234"/>
      <w:proofErr w:type="gramEnd"/>
    </w:p>
    <w:p w:rsidR="007953C7" w:rsidRDefault="007953C7" w:rsidP="007953C7">
      <w:pPr>
        <w:pStyle w:val="BodyText"/>
      </w:pPr>
    </w:p>
    <w:p w:rsidR="007953C7" w:rsidRDefault="007953C7" w:rsidP="00987381">
      <w:pPr>
        <w:pStyle w:val="Caption"/>
      </w:pPr>
    </w:p>
    <w:p w:rsidR="007B37C3" w:rsidRDefault="00FF20D4" w:rsidP="007B37C3">
      <w:pPr>
        <w:pStyle w:val="Heading1"/>
      </w:pPr>
      <w:bookmarkStart w:id="235" w:name="_Toc338703697"/>
      <w:r>
        <w:lastRenderedPageBreak/>
        <w:t xml:space="preserve">Performance </w:t>
      </w:r>
      <w:r w:rsidR="005B61FA">
        <w:t>Indicators</w:t>
      </w:r>
      <w:bookmarkEnd w:id="235"/>
    </w:p>
    <w:p w:rsidR="008B40D4" w:rsidRDefault="005B0617" w:rsidP="00020D2A">
      <w:pPr>
        <w:pStyle w:val="BodyText"/>
        <w:rPr>
          <w:lang w:val="en-US"/>
        </w:rPr>
      </w:pPr>
      <w:r>
        <w:rPr>
          <w:lang w:val="en-US"/>
        </w:rPr>
        <w:t xml:space="preserve">A set of </w:t>
      </w:r>
      <w:r w:rsidR="00020D2A">
        <w:rPr>
          <w:lang w:val="en-US"/>
        </w:rPr>
        <w:t>social</w:t>
      </w:r>
      <w:r w:rsidR="008B40D4">
        <w:rPr>
          <w:lang w:val="en-US"/>
        </w:rPr>
        <w:t>/cultural</w:t>
      </w:r>
      <w:r w:rsidR="00020D2A">
        <w:rPr>
          <w:lang w:val="en-US"/>
        </w:rPr>
        <w:t>, e</w:t>
      </w:r>
      <w:r w:rsidR="004D3A34">
        <w:rPr>
          <w:lang w:val="en-US"/>
        </w:rPr>
        <w:t>conomic, and ecological</w:t>
      </w:r>
      <w:r>
        <w:rPr>
          <w:lang w:val="en-US"/>
        </w:rPr>
        <w:t>/landscape</w:t>
      </w:r>
      <w:r w:rsidR="004D3A34">
        <w:rPr>
          <w:lang w:val="en-US"/>
        </w:rPr>
        <w:t xml:space="preserve"> indicator</w:t>
      </w:r>
      <w:r w:rsidR="00F84851">
        <w:rPr>
          <w:lang w:val="en-US"/>
        </w:rPr>
        <w:t xml:space="preserve">s </w:t>
      </w:r>
      <w:r w:rsidR="004D3A34">
        <w:rPr>
          <w:lang w:val="en-US"/>
        </w:rPr>
        <w:t xml:space="preserve">were selected to inform the </w:t>
      </w:r>
      <w:r w:rsidR="0037379A">
        <w:rPr>
          <w:lang w:val="en-US"/>
        </w:rPr>
        <w:t>discussion about both the</w:t>
      </w:r>
      <w:r w:rsidR="004D3A34">
        <w:rPr>
          <w:lang w:val="en-US"/>
        </w:rPr>
        <w:t xml:space="preserve"> benefits and liabilities that attend historic, current and future </w:t>
      </w:r>
      <w:r w:rsidR="00C544DE">
        <w:rPr>
          <w:lang w:val="en-US"/>
        </w:rPr>
        <w:t>land-use</w:t>
      </w:r>
      <w:r w:rsidR="0037379A">
        <w:rPr>
          <w:lang w:val="en-US"/>
        </w:rPr>
        <w:t xml:space="preserve"> </w:t>
      </w:r>
      <w:r w:rsidR="004D3A34">
        <w:rPr>
          <w:lang w:val="en-US"/>
        </w:rPr>
        <w:t>trajectories</w:t>
      </w:r>
      <w:r w:rsidR="008055D8">
        <w:rPr>
          <w:lang w:val="en-US"/>
        </w:rPr>
        <w:t xml:space="preserve"> on the CLFN SA</w:t>
      </w:r>
      <w:r w:rsidR="00F84851">
        <w:rPr>
          <w:lang w:val="en-US"/>
        </w:rPr>
        <w:t xml:space="preserve"> (</w:t>
      </w:r>
      <w:r w:rsidR="00575CA7">
        <w:rPr>
          <w:lang w:val="en-US"/>
        </w:rPr>
        <w:fldChar w:fldCharType="begin"/>
      </w:r>
      <w:r w:rsidR="00F84851">
        <w:rPr>
          <w:lang w:val="en-US"/>
        </w:rPr>
        <w:instrText xml:space="preserve"> REF _Ref326162565 \h </w:instrText>
      </w:r>
      <w:r w:rsidR="00575CA7">
        <w:rPr>
          <w:lang w:val="en-US"/>
        </w:rPr>
      </w:r>
      <w:r w:rsidR="00575CA7">
        <w:rPr>
          <w:lang w:val="en-US"/>
        </w:rPr>
        <w:fldChar w:fldCharType="separate"/>
      </w:r>
      <w:r w:rsidR="003648B8">
        <w:t xml:space="preserve">Figure </w:t>
      </w:r>
      <w:r w:rsidR="003648B8">
        <w:rPr>
          <w:noProof/>
        </w:rPr>
        <w:t>104</w:t>
      </w:r>
      <w:r w:rsidR="00575CA7">
        <w:rPr>
          <w:lang w:val="en-US"/>
        </w:rPr>
        <w:fldChar w:fldCharType="end"/>
      </w:r>
      <w:r w:rsidR="00F84851">
        <w:rPr>
          <w:lang w:val="en-US"/>
        </w:rPr>
        <w:t>)</w:t>
      </w:r>
      <w:r w:rsidR="004D3A34">
        <w:rPr>
          <w:lang w:val="en-US"/>
        </w:rPr>
        <w:t xml:space="preserve">. It is implicit within the ALCES cumulative effects approach that all </w:t>
      </w:r>
      <w:r w:rsidR="00C544DE">
        <w:rPr>
          <w:lang w:val="en-US"/>
        </w:rPr>
        <w:t>land-use</w:t>
      </w:r>
      <w:r w:rsidR="004D3A34">
        <w:rPr>
          <w:lang w:val="en-US"/>
        </w:rPr>
        <w:t>s, without exception, create both benefits and liabilities</w:t>
      </w:r>
      <w:r w:rsidR="006322A2">
        <w:rPr>
          <w:lang w:val="en-US"/>
        </w:rPr>
        <w:t xml:space="preserve"> (</w:t>
      </w:r>
      <w:r w:rsidR="006322A2" w:rsidRPr="008055D8">
        <w:rPr>
          <w:color w:val="1F497D" w:themeColor="text2"/>
          <w:lang w:val="en-US"/>
        </w:rPr>
        <w:t>http://www.alces.ca/Videos/index?id=11</w:t>
      </w:r>
      <w:r w:rsidR="006322A2">
        <w:rPr>
          <w:lang w:val="en-US"/>
        </w:rPr>
        <w:t>)</w:t>
      </w:r>
      <w:r w:rsidR="008B40D4">
        <w:rPr>
          <w:lang w:val="en-US"/>
        </w:rPr>
        <w:t>, and an important objective</w:t>
      </w:r>
      <w:r w:rsidR="004D3A34">
        <w:rPr>
          <w:lang w:val="en-US"/>
        </w:rPr>
        <w:t xml:space="preserve"> </w:t>
      </w:r>
      <w:r w:rsidR="0037379A">
        <w:rPr>
          <w:lang w:val="en-US"/>
        </w:rPr>
        <w:t xml:space="preserve">of cumulative effects assessments </w:t>
      </w:r>
      <w:r w:rsidR="008B40D4">
        <w:rPr>
          <w:lang w:val="en-US"/>
        </w:rPr>
        <w:t xml:space="preserve">is </w:t>
      </w:r>
      <w:r w:rsidR="0037379A">
        <w:rPr>
          <w:lang w:val="en-US"/>
        </w:rPr>
        <w:t>to</w:t>
      </w:r>
      <w:r>
        <w:rPr>
          <w:lang w:val="en-US"/>
        </w:rPr>
        <w:t xml:space="preserve"> provide an</w:t>
      </w:r>
      <w:r w:rsidR="004D3A34">
        <w:rPr>
          <w:lang w:val="en-US"/>
        </w:rPr>
        <w:t xml:space="preserve"> informed dialogue about the relative balance of</w:t>
      </w:r>
      <w:r w:rsidR="008B40D4">
        <w:rPr>
          <w:lang w:val="en-US"/>
        </w:rPr>
        <w:t xml:space="preserve"> these opportunities and risks.</w:t>
      </w:r>
    </w:p>
    <w:p w:rsidR="008B40D4" w:rsidRDefault="004D3A34" w:rsidP="00020D2A">
      <w:pPr>
        <w:pStyle w:val="BodyText"/>
        <w:rPr>
          <w:noProof/>
          <w:lang w:val="en-US"/>
        </w:rPr>
      </w:pPr>
      <w:r>
        <w:rPr>
          <w:lang w:val="en-US"/>
        </w:rPr>
        <w:t>Where appropriate</w:t>
      </w:r>
      <w:r w:rsidR="008B40D4">
        <w:rPr>
          <w:lang w:val="en-US"/>
        </w:rPr>
        <w:t xml:space="preserve"> throughout this report</w:t>
      </w:r>
      <w:r>
        <w:rPr>
          <w:lang w:val="en-US"/>
        </w:rPr>
        <w:t xml:space="preserve">, the results </w:t>
      </w:r>
      <w:r w:rsidR="006322A2">
        <w:rPr>
          <w:lang w:val="en-US"/>
        </w:rPr>
        <w:t xml:space="preserve">showing indicator performance </w:t>
      </w:r>
      <w:r>
        <w:rPr>
          <w:lang w:val="en-US"/>
        </w:rPr>
        <w:t>are presented using tables, graphs, and maps.</w:t>
      </w:r>
      <w:r w:rsidR="009E4F21" w:rsidRPr="009E4F21">
        <w:rPr>
          <w:noProof/>
          <w:lang w:val="en-US"/>
        </w:rPr>
        <w:t xml:space="preserve"> </w:t>
      </w:r>
    </w:p>
    <w:p w:rsidR="00C46154" w:rsidRDefault="00C46154" w:rsidP="008B40D4">
      <w:pPr>
        <w:pStyle w:val="BodyText"/>
        <w:keepNext/>
        <w:spacing w:after="0"/>
      </w:pPr>
    </w:p>
    <w:p w:rsidR="00C46154" w:rsidRDefault="00C46154" w:rsidP="008B40D4">
      <w:pPr>
        <w:pStyle w:val="BodyText"/>
        <w:keepNext/>
        <w:spacing w:after="0"/>
      </w:pPr>
    </w:p>
    <w:p w:rsidR="00C46154" w:rsidRDefault="00C46154" w:rsidP="008B40D4">
      <w:pPr>
        <w:pStyle w:val="BodyText"/>
        <w:keepNext/>
        <w:spacing w:after="0"/>
      </w:pPr>
    </w:p>
    <w:p w:rsidR="00C46154" w:rsidRDefault="00C46154" w:rsidP="008B40D4">
      <w:pPr>
        <w:pStyle w:val="BodyText"/>
        <w:keepNext/>
        <w:spacing w:after="0"/>
      </w:pPr>
    </w:p>
    <w:p w:rsidR="00C46154" w:rsidRDefault="00C46154" w:rsidP="008B40D4">
      <w:pPr>
        <w:pStyle w:val="BodyText"/>
        <w:keepNext/>
        <w:spacing w:after="0"/>
      </w:pPr>
    </w:p>
    <w:p w:rsidR="00C46154" w:rsidRDefault="00C46154" w:rsidP="008B40D4">
      <w:pPr>
        <w:pStyle w:val="BodyText"/>
        <w:keepNext/>
        <w:spacing w:after="0"/>
      </w:pPr>
    </w:p>
    <w:p w:rsidR="00C46154" w:rsidRDefault="00C46154" w:rsidP="008B40D4">
      <w:pPr>
        <w:pStyle w:val="BodyText"/>
        <w:keepNext/>
        <w:spacing w:after="0"/>
      </w:pPr>
    </w:p>
    <w:p w:rsidR="00C46154" w:rsidRDefault="00C46154" w:rsidP="008B40D4">
      <w:pPr>
        <w:pStyle w:val="BodyText"/>
        <w:keepNext/>
        <w:spacing w:after="0"/>
      </w:pPr>
    </w:p>
    <w:p w:rsidR="00C46154" w:rsidRDefault="00C46154" w:rsidP="008B40D4">
      <w:pPr>
        <w:pStyle w:val="BodyText"/>
        <w:keepNext/>
        <w:spacing w:after="0"/>
      </w:pPr>
    </w:p>
    <w:p w:rsidR="00C46154" w:rsidRDefault="00C46154" w:rsidP="008B40D4">
      <w:pPr>
        <w:pStyle w:val="BodyText"/>
        <w:keepNext/>
        <w:spacing w:after="0"/>
      </w:pPr>
    </w:p>
    <w:p w:rsidR="008B40D4" w:rsidRDefault="009E4F21" w:rsidP="008B40D4">
      <w:pPr>
        <w:pStyle w:val="BodyText"/>
        <w:keepNext/>
        <w:spacing w:after="0"/>
      </w:pPr>
      <w:r>
        <w:rPr>
          <w:noProof/>
          <w:lang w:val="en-US"/>
        </w:rPr>
        <w:drawing>
          <wp:inline distT="0" distB="0" distL="0" distR="0">
            <wp:extent cx="4798889" cy="3600000"/>
            <wp:effectExtent l="19050" t="19050" r="20761" b="19500"/>
            <wp:docPr id="78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5" cstate="print"/>
                    <a:srcRect/>
                    <a:stretch>
                      <a:fillRect/>
                    </a:stretch>
                  </pic:blipFill>
                  <pic:spPr bwMode="auto">
                    <a:xfrm>
                      <a:off x="0" y="0"/>
                      <a:ext cx="4798889"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020D2A" w:rsidRDefault="008B40D4" w:rsidP="008B40D4">
      <w:pPr>
        <w:pStyle w:val="Caption"/>
        <w:rPr>
          <w:noProof/>
          <w:lang w:val="en-US"/>
        </w:rPr>
      </w:pPr>
      <w:bookmarkStart w:id="236" w:name="_Ref326162565"/>
      <w:bookmarkStart w:id="237" w:name="_Toc338703883"/>
      <w:proofErr w:type="gramStart"/>
      <w:r>
        <w:t xml:space="preserve">Figure </w:t>
      </w:r>
      <w:fldSimple w:instr=" SEQ Figure \* ARABIC ">
        <w:r w:rsidR="00A02D22">
          <w:rPr>
            <w:noProof/>
          </w:rPr>
          <w:t>104</w:t>
        </w:r>
      </w:fldSimple>
      <w:bookmarkEnd w:id="236"/>
      <w:r w:rsidR="001419AF">
        <w:t>.</w:t>
      </w:r>
      <w:proofErr w:type="gramEnd"/>
      <w:r w:rsidR="001419AF">
        <w:t xml:space="preserve"> </w:t>
      </w:r>
      <w:proofErr w:type="gramStart"/>
      <w:r w:rsidR="005845C4">
        <w:t xml:space="preserve">Selected landscape, ecological, social-cultural and economic </w:t>
      </w:r>
      <w:r>
        <w:t>CLFN SA performance indicators.</w:t>
      </w:r>
      <w:bookmarkEnd w:id="237"/>
      <w:proofErr w:type="gramEnd"/>
    </w:p>
    <w:p w:rsidR="003F3386" w:rsidRDefault="003F3386">
      <w:pPr>
        <w:spacing w:after="200" w:line="276" w:lineRule="auto"/>
        <w:rPr>
          <w:b/>
          <w:bCs/>
          <w:sz w:val="20"/>
          <w:szCs w:val="20"/>
          <w:lang w:eastAsia="en-CA"/>
        </w:rPr>
      </w:pPr>
      <w:r>
        <w:br w:type="page"/>
      </w:r>
    </w:p>
    <w:p w:rsidR="003F3386" w:rsidRDefault="003F3386" w:rsidP="003F3386">
      <w:pPr>
        <w:pStyle w:val="Caption"/>
        <w:keepNext/>
      </w:pPr>
      <w:bookmarkStart w:id="238" w:name="_Ref326162746"/>
      <w:bookmarkStart w:id="239" w:name="_Toc338703766"/>
      <w:proofErr w:type="gramStart"/>
      <w:r>
        <w:lastRenderedPageBreak/>
        <w:t xml:space="preserve">Table </w:t>
      </w:r>
      <w:r w:rsidR="00575CA7">
        <w:fldChar w:fldCharType="begin"/>
      </w:r>
      <w:r w:rsidR="00D75024">
        <w:instrText xml:space="preserve"> SEQ Table \* ARABIC </w:instrText>
      </w:r>
      <w:r w:rsidR="00575CA7">
        <w:fldChar w:fldCharType="separate"/>
      </w:r>
      <w:r w:rsidR="002B4C72">
        <w:rPr>
          <w:noProof/>
        </w:rPr>
        <w:t>2</w:t>
      </w:r>
      <w:r w:rsidR="00575CA7">
        <w:fldChar w:fldCharType="end"/>
      </w:r>
      <w:bookmarkEnd w:id="238"/>
      <w:r w:rsidR="00B232BD">
        <w:t>.</w:t>
      </w:r>
      <w:proofErr w:type="gramEnd"/>
      <w:r w:rsidR="00B232BD">
        <w:t xml:space="preserve"> Key performance indicators for CLFN ALCES simulator</w:t>
      </w:r>
      <w:bookmarkEnd w:id="23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46"/>
        <w:gridCol w:w="1856"/>
        <w:gridCol w:w="5528"/>
      </w:tblGrid>
      <w:tr w:rsidR="003F3386" w:rsidRPr="00B232BD" w:rsidTr="00B232BD">
        <w:tc>
          <w:tcPr>
            <w:tcW w:w="0" w:type="auto"/>
            <w:tcBorders>
              <w:bottom w:val="single" w:sz="4" w:space="0" w:color="auto"/>
            </w:tcBorders>
            <w:shd w:val="clear" w:color="auto" w:fill="auto"/>
          </w:tcPr>
          <w:p w:rsidR="003F3386" w:rsidRPr="00B232BD" w:rsidRDefault="00B232BD" w:rsidP="00B232BD">
            <w:pPr>
              <w:pStyle w:val="TableTitle5-tabletext-bold"/>
              <w:rPr>
                <w:sz w:val="18"/>
                <w:szCs w:val="18"/>
              </w:rPr>
            </w:pPr>
            <w:r w:rsidRPr="00B232BD">
              <w:rPr>
                <w:sz w:val="18"/>
                <w:szCs w:val="18"/>
              </w:rPr>
              <w:t>Class</w:t>
            </w:r>
            <w:r w:rsidR="003F3386" w:rsidRPr="00B232BD">
              <w:rPr>
                <w:sz w:val="18"/>
                <w:szCs w:val="18"/>
              </w:rPr>
              <w:t xml:space="preserve"> </w:t>
            </w:r>
          </w:p>
        </w:tc>
        <w:tc>
          <w:tcPr>
            <w:tcW w:w="1856" w:type="dxa"/>
            <w:tcBorders>
              <w:bottom w:val="single" w:sz="4" w:space="0" w:color="auto"/>
            </w:tcBorders>
            <w:shd w:val="clear" w:color="auto" w:fill="auto"/>
          </w:tcPr>
          <w:p w:rsidR="003F3386" w:rsidRPr="00B232BD" w:rsidRDefault="003F3386" w:rsidP="002877C3">
            <w:pPr>
              <w:pStyle w:val="TableTitle5-tabletext-bold"/>
              <w:rPr>
                <w:sz w:val="18"/>
                <w:szCs w:val="18"/>
              </w:rPr>
            </w:pPr>
            <w:r w:rsidRPr="00B232BD">
              <w:rPr>
                <w:sz w:val="18"/>
                <w:szCs w:val="18"/>
              </w:rPr>
              <w:t>Indicator</w:t>
            </w:r>
          </w:p>
        </w:tc>
        <w:tc>
          <w:tcPr>
            <w:tcW w:w="5528" w:type="dxa"/>
            <w:tcBorders>
              <w:bottom w:val="single" w:sz="4" w:space="0" w:color="auto"/>
            </w:tcBorders>
            <w:shd w:val="clear" w:color="auto" w:fill="auto"/>
          </w:tcPr>
          <w:p w:rsidR="003F3386" w:rsidRPr="00B232BD" w:rsidRDefault="003F3386" w:rsidP="002877C3">
            <w:pPr>
              <w:pStyle w:val="TableTitle5-tabletext-bold"/>
              <w:rPr>
                <w:sz w:val="18"/>
                <w:szCs w:val="18"/>
              </w:rPr>
            </w:pPr>
            <w:r w:rsidRPr="00B232BD">
              <w:rPr>
                <w:sz w:val="18"/>
                <w:szCs w:val="18"/>
              </w:rPr>
              <w:t>Description</w:t>
            </w:r>
          </w:p>
        </w:tc>
      </w:tr>
      <w:tr w:rsidR="003F3386" w:rsidRPr="00B232BD" w:rsidTr="00B232BD">
        <w:tc>
          <w:tcPr>
            <w:tcW w:w="8330" w:type="dxa"/>
            <w:gridSpan w:val="3"/>
            <w:shd w:val="pct10" w:color="auto" w:fill="auto"/>
          </w:tcPr>
          <w:p w:rsidR="003F3386" w:rsidRPr="00B232BD" w:rsidRDefault="003F3386" w:rsidP="002877C3">
            <w:pPr>
              <w:pStyle w:val="TableTitle5-tabletext-bold"/>
              <w:rPr>
                <w:sz w:val="18"/>
                <w:szCs w:val="18"/>
              </w:rPr>
            </w:pPr>
            <w:r w:rsidRPr="00B232BD">
              <w:rPr>
                <w:sz w:val="18"/>
                <w:szCs w:val="18"/>
              </w:rPr>
              <w:t>Economic and Social Indicators</w:t>
            </w:r>
          </w:p>
        </w:tc>
      </w:tr>
      <w:tr w:rsidR="003F3386" w:rsidRPr="00B232BD" w:rsidTr="00B232BD">
        <w:trPr>
          <w:cantSplit/>
        </w:trPr>
        <w:tc>
          <w:tcPr>
            <w:tcW w:w="0" w:type="auto"/>
            <w:tcBorders>
              <w:top w:val="single" w:sz="4" w:space="0" w:color="auto"/>
              <w:left w:val="single" w:sz="4" w:space="0" w:color="auto"/>
              <w:bottom w:val="nil"/>
              <w:right w:val="single" w:sz="4" w:space="0" w:color="auto"/>
            </w:tcBorders>
            <w:shd w:val="clear" w:color="auto" w:fill="auto"/>
          </w:tcPr>
          <w:p w:rsidR="003F3386" w:rsidRPr="00B232BD" w:rsidRDefault="003F3386" w:rsidP="002877C3">
            <w:pPr>
              <w:pStyle w:val="TableTitle5-tabletext"/>
              <w:rPr>
                <w:sz w:val="18"/>
                <w:szCs w:val="18"/>
              </w:rPr>
            </w:pPr>
            <w:r w:rsidRPr="00B232BD">
              <w:rPr>
                <w:sz w:val="18"/>
                <w:szCs w:val="18"/>
              </w:rPr>
              <w:t>Economic</w:t>
            </w:r>
          </w:p>
        </w:tc>
        <w:tc>
          <w:tcPr>
            <w:tcW w:w="1856" w:type="dxa"/>
            <w:tcBorders>
              <w:left w:val="single" w:sz="4" w:space="0" w:color="auto"/>
            </w:tcBorders>
            <w:shd w:val="clear" w:color="auto" w:fill="auto"/>
          </w:tcPr>
          <w:p w:rsidR="003F3386" w:rsidRPr="00B232BD" w:rsidRDefault="003F3386" w:rsidP="002877C3">
            <w:pPr>
              <w:pStyle w:val="TableTitle5-tabletext"/>
              <w:rPr>
                <w:sz w:val="18"/>
                <w:szCs w:val="18"/>
              </w:rPr>
            </w:pPr>
            <w:r w:rsidRPr="00B232BD">
              <w:rPr>
                <w:sz w:val="18"/>
                <w:szCs w:val="18"/>
              </w:rPr>
              <w:t>Commodity Production</w:t>
            </w:r>
          </w:p>
        </w:tc>
        <w:tc>
          <w:tcPr>
            <w:tcW w:w="5528" w:type="dxa"/>
            <w:shd w:val="clear" w:color="auto" w:fill="auto"/>
          </w:tcPr>
          <w:p w:rsidR="003F3386" w:rsidRPr="00B232BD" w:rsidRDefault="003F3386" w:rsidP="002877C3">
            <w:pPr>
              <w:pStyle w:val="TableTitle5-tabletext"/>
              <w:rPr>
                <w:sz w:val="18"/>
                <w:szCs w:val="18"/>
              </w:rPr>
            </w:pPr>
            <w:r w:rsidRPr="00B232BD">
              <w:rPr>
                <w:sz w:val="18"/>
                <w:szCs w:val="18"/>
              </w:rPr>
              <w:t xml:space="preserve">Amount of annual commodity production by </w:t>
            </w:r>
            <w:r w:rsidR="00C544DE">
              <w:rPr>
                <w:sz w:val="18"/>
                <w:szCs w:val="18"/>
              </w:rPr>
              <w:t>land-use</w:t>
            </w:r>
            <w:r w:rsidRPr="00B232BD">
              <w:rPr>
                <w:sz w:val="18"/>
                <w:szCs w:val="18"/>
              </w:rPr>
              <w:t xml:space="preserve"> activity:</w:t>
            </w:r>
          </w:p>
          <w:p w:rsidR="003F3386" w:rsidRPr="00B232BD" w:rsidRDefault="003F3386" w:rsidP="003F3386">
            <w:pPr>
              <w:pStyle w:val="TableTitle5-tabletext-bullets"/>
              <w:rPr>
                <w:sz w:val="18"/>
                <w:szCs w:val="18"/>
              </w:rPr>
            </w:pPr>
            <w:r w:rsidRPr="00B232BD">
              <w:rPr>
                <w:sz w:val="18"/>
                <w:szCs w:val="18"/>
              </w:rPr>
              <w:t>Heavy oil (m</w:t>
            </w:r>
            <w:r w:rsidRPr="00B232BD">
              <w:rPr>
                <w:sz w:val="18"/>
                <w:szCs w:val="18"/>
                <w:vertAlign w:val="superscript"/>
              </w:rPr>
              <w:t>3</w:t>
            </w:r>
            <w:r w:rsidRPr="00B232BD">
              <w:rPr>
                <w:sz w:val="18"/>
                <w:szCs w:val="18"/>
              </w:rPr>
              <w:t>)</w:t>
            </w:r>
          </w:p>
          <w:p w:rsidR="003F3386" w:rsidRPr="00B232BD" w:rsidRDefault="003F3386" w:rsidP="003F3386">
            <w:pPr>
              <w:pStyle w:val="TableTitle5-tabletext-bullets"/>
              <w:rPr>
                <w:sz w:val="18"/>
                <w:szCs w:val="18"/>
              </w:rPr>
            </w:pPr>
            <w:r w:rsidRPr="00B232BD">
              <w:rPr>
                <w:sz w:val="18"/>
                <w:szCs w:val="18"/>
              </w:rPr>
              <w:t>CSS bitumen (m</w:t>
            </w:r>
            <w:r w:rsidRPr="00B232BD">
              <w:rPr>
                <w:sz w:val="18"/>
                <w:szCs w:val="18"/>
                <w:vertAlign w:val="superscript"/>
              </w:rPr>
              <w:t>3</w:t>
            </w:r>
            <w:r w:rsidRPr="00B232BD">
              <w:rPr>
                <w:sz w:val="18"/>
                <w:szCs w:val="18"/>
              </w:rPr>
              <w:t>)</w:t>
            </w:r>
          </w:p>
          <w:p w:rsidR="003F3386" w:rsidRPr="00B232BD" w:rsidRDefault="003F3386" w:rsidP="003F3386">
            <w:pPr>
              <w:pStyle w:val="TableTitle5-tabletext-bullets"/>
              <w:rPr>
                <w:sz w:val="18"/>
                <w:szCs w:val="18"/>
              </w:rPr>
            </w:pPr>
            <w:r w:rsidRPr="00B232BD">
              <w:rPr>
                <w:sz w:val="18"/>
                <w:szCs w:val="18"/>
              </w:rPr>
              <w:t>SAGD  bitumen (m</w:t>
            </w:r>
            <w:r w:rsidRPr="00B232BD">
              <w:rPr>
                <w:sz w:val="18"/>
                <w:szCs w:val="18"/>
                <w:vertAlign w:val="superscript"/>
              </w:rPr>
              <w:t>3</w:t>
            </w:r>
            <w:r w:rsidRPr="00B232BD">
              <w:rPr>
                <w:sz w:val="18"/>
                <w:szCs w:val="18"/>
              </w:rPr>
              <w:t>)</w:t>
            </w:r>
          </w:p>
          <w:p w:rsidR="003F3386" w:rsidRPr="00B232BD" w:rsidRDefault="003F3386" w:rsidP="003F3386">
            <w:pPr>
              <w:pStyle w:val="TableTitle5-tabletext-bullets"/>
              <w:rPr>
                <w:sz w:val="18"/>
                <w:szCs w:val="18"/>
              </w:rPr>
            </w:pPr>
            <w:r w:rsidRPr="00B232BD">
              <w:rPr>
                <w:sz w:val="18"/>
                <w:szCs w:val="18"/>
              </w:rPr>
              <w:t>Crop Production (tonnes)\</w:t>
            </w:r>
          </w:p>
          <w:p w:rsidR="003F3386" w:rsidRPr="00B232BD" w:rsidRDefault="003F3386" w:rsidP="003F3386">
            <w:pPr>
              <w:pStyle w:val="TableTitle5-tabletext-bullets"/>
              <w:rPr>
                <w:sz w:val="18"/>
                <w:szCs w:val="18"/>
              </w:rPr>
            </w:pPr>
            <w:r w:rsidRPr="00B232BD">
              <w:rPr>
                <w:sz w:val="18"/>
                <w:szCs w:val="18"/>
              </w:rPr>
              <w:t>Cattle Harvest (tonne)</w:t>
            </w:r>
          </w:p>
        </w:tc>
      </w:tr>
      <w:tr w:rsidR="003F3386" w:rsidRPr="00B232BD" w:rsidTr="00B232BD">
        <w:trPr>
          <w:cantSplit/>
        </w:trPr>
        <w:tc>
          <w:tcPr>
            <w:tcW w:w="0" w:type="auto"/>
            <w:tcBorders>
              <w:top w:val="nil"/>
              <w:left w:val="single" w:sz="4" w:space="0" w:color="auto"/>
              <w:bottom w:val="single" w:sz="4" w:space="0" w:color="auto"/>
              <w:right w:val="single" w:sz="4" w:space="0" w:color="auto"/>
            </w:tcBorders>
            <w:shd w:val="clear" w:color="auto" w:fill="auto"/>
          </w:tcPr>
          <w:p w:rsidR="003F3386" w:rsidRPr="00B232BD" w:rsidRDefault="003F3386" w:rsidP="002877C3">
            <w:pPr>
              <w:pStyle w:val="TableTitle5-tabletext"/>
              <w:rPr>
                <w:sz w:val="18"/>
                <w:szCs w:val="18"/>
              </w:rPr>
            </w:pPr>
          </w:p>
        </w:tc>
        <w:tc>
          <w:tcPr>
            <w:tcW w:w="1856" w:type="dxa"/>
            <w:tcBorders>
              <w:left w:val="single" w:sz="4" w:space="0" w:color="auto"/>
            </w:tcBorders>
          </w:tcPr>
          <w:p w:rsidR="003F3386" w:rsidRPr="00B232BD" w:rsidRDefault="003F3386" w:rsidP="002877C3">
            <w:pPr>
              <w:pStyle w:val="TableTitle5-tabletext"/>
              <w:rPr>
                <w:sz w:val="18"/>
                <w:szCs w:val="18"/>
              </w:rPr>
            </w:pPr>
            <w:r w:rsidRPr="00B232BD">
              <w:rPr>
                <w:sz w:val="18"/>
                <w:szCs w:val="18"/>
              </w:rPr>
              <w:t>Revenue</w:t>
            </w:r>
          </w:p>
        </w:tc>
        <w:tc>
          <w:tcPr>
            <w:tcW w:w="5528" w:type="dxa"/>
          </w:tcPr>
          <w:p w:rsidR="003F3386" w:rsidRPr="00B232BD" w:rsidRDefault="003F3386" w:rsidP="002877C3">
            <w:pPr>
              <w:pStyle w:val="TableTitle5-tabletext"/>
              <w:rPr>
                <w:sz w:val="18"/>
                <w:szCs w:val="18"/>
              </w:rPr>
            </w:pPr>
            <w:r w:rsidRPr="00B232BD">
              <w:rPr>
                <w:sz w:val="18"/>
                <w:szCs w:val="18"/>
              </w:rPr>
              <w:t>Gross revenue (</w:t>
            </w:r>
            <w:r w:rsidR="008055D8">
              <w:rPr>
                <w:sz w:val="18"/>
                <w:szCs w:val="18"/>
              </w:rPr>
              <w:t xml:space="preserve">$) generated by commodity sale </w:t>
            </w:r>
            <w:r w:rsidRPr="00B232BD">
              <w:rPr>
                <w:sz w:val="18"/>
                <w:szCs w:val="18"/>
              </w:rPr>
              <w:t xml:space="preserve">for each </w:t>
            </w:r>
            <w:r w:rsidR="00C544DE">
              <w:rPr>
                <w:sz w:val="18"/>
                <w:szCs w:val="18"/>
              </w:rPr>
              <w:t>land-use</w:t>
            </w:r>
            <w:r w:rsidRPr="00B232BD">
              <w:rPr>
                <w:sz w:val="18"/>
                <w:szCs w:val="18"/>
              </w:rPr>
              <w:t xml:space="preserve"> sector.  Sectors examined include:</w:t>
            </w:r>
          </w:p>
          <w:p w:rsidR="003F3386" w:rsidRPr="00B232BD" w:rsidRDefault="003F3386" w:rsidP="003F3386">
            <w:pPr>
              <w:pStyle w:val="TableTitle5-tabletext-bullets"/>
              <w:rPr>
                <w:sz w:val="18"/>
                <w:szCs w:val="18"/>
              </w:rPr>
            </w:pPr>
            <w:r w:rsidRPr="00B232BD">
              <w:rPr>
                <w:sz w:val="18"/>
                <w:szCs w:val="18"/>
              </w:rPr>
              <w:t>Heavy oil (m</w:t>
            </w:r>
            <w:r w:rsidRPr="00B232BD">
              <w:rPr>
                <w:sz w:val="18"/>
                <w:szCs w:val="18"/>
                <w:vertAlign w:val="superscript"/>
              </w:rPr>
              <w:t>3</w:t>
            </w:r>
            <w:r w:rsidRPr="00B232BD">
              <w:rPr>
                <w:sz w:val="18"/>
                <w:szCs w:val="18"/>
              </w:rPr>
              <w:t>)</w:t>
            </w:r>
          </w:p>
          <w:p w:rsidR="003F3386" w:rsidRPr="00B232BD" w:rsidRDefault="003F3386" w:rsidP="003F3386">
            <w:pPr>
              <w:pStyle w:val="TableTitle5-tabletext-bullets"/>
              <w:rPr>
                <w:sz w:val="18"/>
                <w:szCs w:val="18"/>
              </w:rPr>
            </w:pPr>
            <w:r w:rsidRPr="00B232BD">
              <w:rPr>
                <w:sz w:val="18"/>
                <w:szCs w:val="18"/>
              </w:rPr>
              <w:t>CSS bitumen (m</w:t>
            </w:r>
            <w:r w:rsidRPr="00B232BD">
              <w:rPr>
                <w:sz w:val="18"/>
                <w:szCs w:val="18"/>
                <w:vertAlign w:val="superscript"/>
              </w:rPr>
              <w:t>3</w:t>
            </w:r>
            <w:r w:rsidRPr="00B232BD">
              <w:rPr>
                <w:sz w:val="18"/>
                <w:szCs w:val="18"/>
              </w:rPr>
              <w:t>)</w:t>
            </w:r>
          </w:p>
          <w:p w:rsidR="003F3386" w:rsidRPr="00B232BD" w:rsidRDefault="003F3386" w:rsidP="003F3386">
            <w:pPr>
              <w:pStyle w:val="TableTitle5-tabletext-bullets"/>
              <w:rPr>
                <w:sz w:val="18"/>
                <w:szCs w:val="18"/>
              </w:rPr>
            </w:pPr>
            <w:r w:rsidRPr="00B232BD">
              <w:rPr>
                <w:sz w:val="18"/>
                <w:szCs w:val="18"/>
              </w:rPr>
              <w:t>SAGD  bitumen (m</w:t>
            </w:r>
            <w:r w:rsidRPr="00B232BD">
              <w:rPr>
                <w:sz w:val="18"/>
                <w:szCs w:val="18"/>
                <w:vertAlign w:val="superscript"/>
              </w:rPr>
              <w:t>3</w:t>
            </w:r>
            <w:r w:rsidRPr="00B232BD">
              <w:rPr>
                <w:sz w:val="18"/>
                <w:szCs w:val="18"/>
              </w:rPr>
              <w:t>)</w:t>
            </w:r>
          </w:p>
        </w:tc>
      </w:tr>
      <w:tr w:rsidR="003F3386" w:rsidRPr="00B232BD" w:rsidTr="00B232BD">
        <w:trPr>
          <w:cantSplit/>
        </w:trPr>
        <w:tc>
          <w:tcPr>
            <w:tcW w:w="0" w:type="auto"/>
            <w:tcBorders>
              <w:top w:val="single" w:sz="4" w:space="0" w:color="auto"/>
              <w:left w:val="single" w:sz="4" w:space="0" w:color="auto"/>
              <w:bottom w:val="nil"/>
              <w:right w:val="single" w:sz="4" w:space="0" w:color="auto"/>
            </w:tcBorders>
            <w:shd w:val="clear" w:color="auto" w:fill="auto"/>
          </w:tcPr>
          <w:p w:rsidR="003F3386" w:rsidRPr="00B232BD" w:rsidRDefault="003F3386" w:rsidP="002877C3">
            <w:pPr>
              <w:pStyle w:val="TableTitle5-tabletext"/>
              <w:rPr>
                <w:sz w:val="18"/>
                <w:szCs w:val="18"/>
              </w:rPr>
            </w:pPr>
            <w:r w:rsidRPr="00B232BD">
              <w:rPr>
                <w:sz w:val="18"/>
                <w:szCs w:val="18"/>
              </w:rPr>
              <w:t>Social</w:t>
            </w:r>
          </w:p>
        </w:tc>
        <w:tc>
          <w:tcPr>
            <w:tcW w:w="1856" w:type="dxa"/>
            <w:tcBorders>
              <w:left w:val="single" w:sz="4" w:space="0" w:color="auto"/>
            </w:tcBorders>
          </w:tcPr>
          <w:p w:rsidR="003F3386" w:rsidRPr="00B232BD" w:rsidRDefault="003F3386" w:rsidP="002877C3">
            <w:pPr>
              <w:pStyle w:val="TableTitle5-tabletext"/>
              <w:rPr>
                <w:sz w:val="18"/>
                <w:szCs w:val="18"/>
              </w:rPr>
            </w:pPr>
            <w:r w:rsidRPr="00B232BD">
              <w:rPr>
                <w:sz w:val="18"/>
                <w:szCs w:val="18"/>
              </w:rPr>
              <w:t>Direct Employment</w:t>
            </w:r>
          </w:p>
        </w:tc>
        <w:tc>
          <w:tcPr>
            <w:tcW w:w="5528" w:type="dxa"/>
          </w:tcPr>
          <w:p w:rsidR="003F3386" w:rsidRPr="00B232BD" w:rsidRDefault="003F3386" w:rsidP="002877C3">
            <w:pPr>
              <w:pStyle w:val="TableTitle5-tabletext-bullets"/>
              <w:numPr>
                <w:ilvl w:val="0"/>
                <w:numId w:val="0"/>
              </w:numPr>
              <w:rPr>
                <w:sz w:val="18"/>
                <w:szCs w:val="18"/>
              </w:rPr>
            </w:pPr>
            <w:r w:rsidRPr="00B232BD">
              <w:rPr>
                <w:sz w:val="18"/>
                <w:szCs w:val="18"/>
              </w:rPr>
              <w:t xml:space="preserve">Direct employment (annual direct FTE positions) for each </w:t>
            </w:r>
            <w:r w:rsidR="00C544DE">
              <w:rPr>
                <w:sz w:val="18"/>
                <w:szCs w:val="18"/>
              </w:rPr>
              <w:t>land-use</w:t>
            </w:r>
            <w:r w:rsidRPr="00B232BD">
              <w:rPr>
                <w:sz w:val="18"/>
                <w:szCs w:val="18"/>
              </w:rPr>
              <w:t xml:space="preserve"> sector multiplied by an employment coefficient). Sectors include:</w:t>
            </w:r>
          </w:p>
          <w:p w:rsidR="003F3386" w:rsidRPr="00B232BD" w:rsidRDefault="003F3386" w:rsidP="003F3386">
            <w:pPr>
              <w:pStyle w:val="TableTitle5-tabletext-bullets"/>
              <w:rPr>
                <w:sz w:val="18"/>
                <w:szCs w:val="18"/>
              </w:rPr>
            </w:pPr>
            <w:r w:rsidRPr="00B232BD">
              <w:rPr>
                <w:sz w:val="18"/>
                <w:szCs w:val="18"/>
              </w:rPr>
              <w:t>Heavy oil (m</w:t>
            </w:r>
            <w:r w:rsidRPr="00B232BD">
              <w:rPr>
                <w:sz w:val="18"/>
                <w:szCs w:val="18"/>
                <w:vertAlign w:val="superscript"/>
              </w:rPr>
              <w:t>3</w:t>
            </w:r>
            <w:r w:rsidRPr="00B232BD">
              <w:rPr>
                <w:sz w:val="18"/>
                <w:szCs w:val="18"/>
              </w:rPr>
              <w:t>)</w:t>
            </w:r>
          </w:p>
          <w:p w:rsidR="003F3386" w:rsidRPr="00B232BD" w:rsidRDefault="003F3386" w:rsidP="003F3386">
            <w:pPr>
              <w:pStyle w:val="TableTitle5-tabletext-bullets"/>
              <w:rPr>
                <w:sz w:val="18"/>
                <w:szCs w:val="18"/>
              </w:rPr>
            </w:pPr>
            <w:r w:rsidRPr="00B232BD">
              <w:rPr>
                <w:sz w:val="18"/>
                <w:szCs w:val="18"/>
              </w:rPr>
              <w:t>CSS bitumen (m</w:t>
            </w:r>
            <w:r w:rsidRPr="00B232BD">
              <w:rPr>
                <w:sz w:val="18"/>
                <w:szCs w:val="18"/>
                <w:vertAlign w:val="superscript"/>
              </w:rPr>
              <w:t>3</w:t>
            </w:r>
            <w:r w:rsidRPr="00B232BD">
              <w:rPr>
                <w:sz w:val="18"/>
                <w:szCs w:val="18"/>
              </w:rPr>
              <w:t>)</w:t>
            </w:r>
          </w:p>
          <w:p w:rsidR="003F3386" w:rsidRPr="00B232BD" w:rsidRDefault="003F3386" w:rsidP="003F3386">
            <w:pPr>
              <w:pStyle w:val="TableTitle5-tabletext-bullets"/>
              <w:rPr>
                <w:sz w:val="18"/>
                <w:szCs w:val="18"/>
              </w:rPr>
            </w:pPr>
            <w:r w:rsidRPr="00B232BD">
              <w:rPr>
                <w:sz w:val="18"/>
                <w:szCs w:val="18"/>
              </w:rPr>
              <w:t>SAGD  bitumen (m</w:t>
            </w:r>
            <w:r w:rsidRPr="00B232BD">
              <w:rPr>
                <w:sz w:val="18"/>
                <w:szCs w:val="18"/>
                <w:vertAlign w:val="superscript"/>
              </w:rPr>
              <w:t>3</w:t>
            </w:r>
            <w:r w:rsidRPr="00B232BD">
              <w:rPr>
                <w:sz w:val="18"/>
                <w:szCs w:val="18"/>
              </w:rPr>
              <w:t>)</w:t>
            </w:r>
          </w:p>
        </w:tc>
      </w:tr>
      <w:tr w:rsidR="00B232BD" w:rsidRPr="00B232BD" w:rsidTr="00B232BD">
        <w:trPr>
          <w:cantSplit/>
        </w:trPr>
        <w:tc>
          <w:tcPr>
            <w:tcW w:w="0" w:type="auto"/>
            <w:vMerge w:val="restart"/>
            <w:tcBorders>
              <w:top w:val="nil"/>
              <w:left w:val="single" w:sz="4" w:space="0" w:color="auto"/>
              <w:right w:val="single" w:sz="4" w:space="0" w:color="auto"/>
            </w:tcBorders>
            <w:shd w:val="clear" w:color="auto" w:fill="auto"/>
          </w:tcPr>
          <w:p w:rsidR="00B232BD" w:rsidRPr="00B232BD" w:rsidRDefault="00B232BD" w:rsidP="002877C3">
            <w:pPr>
              <w:pStyle w:val="TableTitle5-tabletext"/>
              <w:rPr>
                <w:sz w:val="18"/>
                <w:szCs w:val="18"/>
              </w:rPr>
            </w:pPr>
          </w:p>
        </w:tc>
        <w:tc>
          <w:tcPr>
            <w:tcW w:w="1856" w:type="dxa"/>
            <w:tcBorders>
              <w:left w:val="single" w:sz="4" w:space="0" w:color="auto"/>
              <w:bottom w:val="single" w:sz="4" w:space="0" w:color="auto"/>
            </w:tcBorders>
          </w:tcPr>
          <w:p w:rsidR="00B232BD" w:rsidRPr="00B232BD" w:rsidRDefault="00B232BD" w:rsidP="002877C3">
            <w:pPr>
              <w:pStyle w:val="TableTitle5-tabletext"/>
              <w:rPr>
                <w:sz w:val="18"/>
                <w:szCs w:val="18"/>
              </w:rPr>
            </w:pPr>
            <w:r w:rsidRPr="00B232BD">
              <w:rPr>
                <w:sz w:val="18"/>
                <w:szCs w:val="18"/>
              </w:rPr>
              <w:t>Non-aboriginal Population</w:t>
            </w:r>
          </w:p>
        </w:tc>
        <w:tc>
          <w:tcPr>
            <w:tcW w:w="5528" w:type="dxa"/>
            <w:tcBorders>
              <w:bottom w:val="single" w:sz="4" w:space="0" w:color="auto"/>
            </w:tcBorders>
          </w:tcPr>
          <w:p w:rsidR="00B232BD" w:rsidRPr="00B232BD" w:rsidRDefault="00B232BD" w:rsidP="002877C3">
            <w:pPr>
              <w:pStyle w:val="TableTitle5-tabletext"/>
              <w:rPr>
                <w:sz w:val="18"/>
                <w:szCs w:val="18"/>
              </w:rPr>
            </w:pPr>
            <w:r w:rsidRPr="00B232BD">
              <w:rPr>
                <w:sz w:val="18"/>
                <w:szCs w:val="18"/>
              </w:rPr>
              <w:t>Total regional non-aboriginal human population as calculated by a projected growth rate.</w:t>
            </w:r>
          </w:p>
        </w:tc>
      </w:tr>
      <w:tr w:rsidR="00B232BD" w:rsidRPr="00B232BD" w:rsidTr="00B232BD">
        <w:trPr>
          <w:cantSplit/>
        </w:trPr>
        <w:tc>
          <w:tcPr>
            <w:tcW w:w="0" w:type="auto"/>
            <w:vMerge/>
            <w:tcBorders>
              <w:left w:val="single" w:sz="4" w:space="0" w:color="auto"/>
              <w:bottom w:val="single" w:sz="4" w:space="0" w:color="auto"/>
              <w:right w:val="single" w:sz="4" w:space="0" w:color="auto"/>
            </w:tcBorders>
            <w:shd w:val="clear" w:color="auto" w:fill="auto"/>
          </w:tcPr>
          <w:p w:rsidR="00B232BD" w:rsidRPr="00B232BD" w:rsidRDefault="00B232BD" w:rsidP="002877C3">
            <w:pPr>
              <w:pStyle w:val="TableTitle5-tabletext"/>
              <w:rPr>
                <w:sz w:val="18"/>
                <w:szCs w:val="18"/>
              </w:rPr>
            </w:pPr>
          </w:p>
        </w:tc>
        <w:tc>
          <w:tcPr>
            <w:tcW w:w="1856" w:type="dxa"/>
            <w:tcBorders>
              <w:left w:val="single" w:sz="4" w:space="0" w:color="auto"/>
              <w:bottom w:val="single" w:sz="4" w:space="0" w:color="auto"/>
            </w:tcBorders>
          </w:tcPr>
          <w:p w:rsidR="00B232BD" w:rsidRPr="00B232BD" w:rsidRDefault="00B232BD" w:rsidP="002877C3">
            <w:pPr>
              <w:pStyle w:val="TableTitle5-tabletext"/>
              <w:rPr>
                <w:sz w:val="18"/>
                <w:szCs w:val="18"/>
              </w:rPr>
            </w:pPr>
            <w:r w:rsidRPr="00B232BD">
              <w:rPr>
                <w:sz w:val="18"/>
                <w:szCs w:val="18"/>
              </w:rPr>
              <w:t>Aboriginal Population</w:t>
            </w:r>
          </w:p>
        </w:tc>
        <w:tc>
          <w:tcPr>
            <w:tcW w:w="5528" w:type="dxa"/>
            <w:tcBorders>
              <w:bottom w:val="single" w:sz="4" w:space="0" w:color="auto"/>
            </w:tcBorders>
          </w:tcPr>
          <w:p w:rsidR="00B232BD" w:rsidRPr="00B232BD" w:rsidRDefault="00B232BD" w:rsidP="002877C3">
            <w:pPr>
              <w:pStyle w:val="TableTitle5-tabletext"/>
              <w:rPr>
                <w:sz w:val="18"/>
                <w:szCs w:val="18"/>
              </w:rPr>
            </w:pPr>
            <w:r w:rsidRPr="00B232BD">
              <w:rPr>
                <w:sz w:val="18"/>
                <w:szCs w:val="18"/>
              </w:rPr>
              <w:t>Total regional aboriginal human population as calculated by a projected growth rate.</w:t>
            </w:r>
          </w:p>
        </w:tc>
      </w:tr>
      <w:tr w:rsidR="003F3386" w:rsidRPr="00B232BD" w:rsidTr="00B232BD">
        <w:trPr>
          <w:cantSplit/>
        </w:trPr>
        <w:tc>
          <w:tcPr>
            <w:tcW w:w="8330" w:type="dxa"/>
            <w:gridSpan w:val="3"/>
            <w:shd w:val="pct10" w:color="auto" w:fill="auto"/>
          </w:tcPr>
          <w:p w:rsidR="003F3386" w:rsidRPr="00B232BD" w:rsidRDefault="00C544DE" w:rsidP="002877C3">
            <w:pPr>
              <w:pStyle w:val="TableTitle5-tabletext-bold"/>
              <w:rPr>
                <w:sz w:val="18"/>
                <w:szCs w:val="18"/>
              </w:rPr>
            </w:pPr>
            <w:r>
              <w:rPr>
                <w:sz w:val="18"/>
                <w:szCs w:val="18"/>
              </w:rPr>
              <w:t>Land-use</w:t>
            </w:r>
            <w:r w:rsidR="003F3386" w:rsidRPr="00B232BD">
              <w:rPr>
                <w:sz w:val="18"/>
                <w:szCs w:val="18"/>
              </w:rPr>
              <w:t xml:space="preserve"> and Ecological Indicators</w:t>
            </w:r>
          </w:p>
        </w:tc>
      </w:tr>
      <w:tr w:rsidR="003F3386" w:rsidRPr="00B232BD" w:rsidTr="00B232BD">
        <w:trPr>
          <w:cantSplit/>
        </w:trPr>
        <w:tc>
          <w:tcPr>
            <w:tcW w:w="0" w:type="auto"/>
            <w:tcBorders>
              <w:top w:val="single" w:sz="4" w:space="0" w:color="auto"/>
              <w:left w:val="single" w:sz="4" w:space="0" w:color="auto"/>
              <w:bottom w:val="nil"/>
              <w:right w:val="single" w:sz="4" w:space="0" w:color="auto"/>
            </w:tcBorders>
          </w:tcPr>
          <w:p w:rsidR="003F3386" w:rsidRPr="00B232BD" w:rsidRDefault="003F3386" w:rsidP="002877C3">
            <w:pPr>
              <w:rPr>
                <w:sz w:val="18"/>
                <w:szCs w:val="18"/>
              </w:rPr>
            </w:pPr>
            <w:r w:rsidRPr="00B232BD">
              <w:rPr>
                <w:sz w:val="18"/>
                <w:szCs w:val="18"/>
              </w:rPr>
              <w:t>Land</w:t>
            </w:r>
          </w:p>
        </w:tc>
        <w:tc>
          <w:tcPr>
            <w:tcW w:w="1856" w:type="dxa"/>
            <w:tcBorders>
              <w:left w:val="single" w:sz="4" w:space="0" w:color="auto"/>
            </w:tcBorders>
          </w:tcPr>
          <w:p w:rsidR="003F3386" w:rsidRPr="00B232BD" w:rsidRDefault="003F3386" w:rsidP="002877C3">
            <w:pPr>
              <w:pStyle w:val="TableTitle5-tabletext"/>
              <w:rPr>
                <w:sz w:val="18"/>
                <w:szCs w:val="18"/>
              </w:rPr>
            </w:pPr>
            <w:r w:rsidRPr="00B232BD">
              <w:rPr>
                <w:sz w:val="18"/>
                <w:szCs w:val="18"/>
              </w:rPr>
              <w:t>Total Area Disturbed</w:t>
            </w:r>
          </w:p>
        </w:tc>
        <w:tc>
          <w:tcPr>
            <w:tcW w:w="5528" w:type="dxa"/>
          </w:tcPr>
          <w:p w:rsidR="003F3386" w:rsidRPr="00B232BD" w:rsidRDefault="003F3386" w:rsidP="002877C3">
            <w:pPr>
              <w:pStyle w:val="TableTitle5-tabletext"/>
              <w:rPr>
                <w:sz w:val="18"/>
                <w:szCs w:val="18"/>
              </w:rPr>
            </w:pPr>
            <w:r w:rsidRPr="00B232BD">
              <w:rPr>
                <w:sz w:val="18"/>
                <w:szCs w:val="18"/>
              </w:rPr>
              <w:t xml:space="preserve">Total amount of human-caused surface disturbance (i.e., direct </w:t>
            </w:r>
            <w:r w:rsidR="00C544DE">
              <w:rPr>
                <w:sz w:val="18"/>
                <w:szCs w:val="18"/>
              </w:rPr>
              <w:t>land-use</w:t>
            </w:r>
            <w:r w:rsidRPr="00B232BD">
              <w:rPr>
                <w:sz w:val="18"/>
                <w:szCs w:val="18"/>
              </w:rPr>
              <w:t xml:space="preserve"> footprint).</w:t>
            </w:r>
          </w:p>
        </w:tc>
      </w:tr>
      <w:tr w:rsidR="003F3386" w:rsidRPr="00B232BD" w:rsidTr="00B232BD">
        <w:trPr>
          <w:cantSplit/>
        </w:trPr>
        <w:tc>
          <w:tcPr>
            <w:tcW w:w="0" w:type="auto"/>
            <w:tcBorders>
              <w:top w:val="nil"/>
              <w:left w:val="single" w:sz="4" w:space="0" w:color="auto"/>
              <w:bottom w:val="nil"/>
              <w:right w:val="single" w:sz="4" w:space="0" w:color="auto"/>
            </w:tcBorders>
          </w:tcPr>
          <w:p w:rsidR="003F3386" w:rsidRPr="00B232BD" w:rsidRDefault="003F3386" w:rsidP="002877C3">
            <w:pPr>
              <w:rPr>
                <w:sz w:val="18"/>
                <w:szCs w:val="18"/>
              </w:rPr>
            </w:pPr>
          </w:p>
        </w:tc>
        <w:tc>
          <w:tcPr>
            <w:tcW w:w="1856" w:type="dxa"/>
            <w:tcBorders>
              <w:left w:val="single" w:sz="4" w:space="0" w:color="auto"/>
            </w:tcBorders>
          </w:tcPr>
          <w:p w:rsidR="003F3386" w:rsidRPr="00B232BD" w:rsidRDefault="003F3386" w:rsidP="002877C3">
            <w:pPr>
              <w:pStyle w:val="TableTitle5-tabletext"/>
              <w:rPr>
                <w:sz w:val="18"/>
                <w:szCs w:val="18"/>
              </w:rPr>
            </w:pPr>
            <w:r w:rsidRPr="00B232BD">
              <w:rPr>
                <w:sz w:val="18"/>
                <w:szCs w:val="18"/>
              </w:rPr>
              <w:t>Fragmentation (Linear Density km/km</w:t>
            </w:r>
            <w:r w:rsidRPr="00B232BD">
              <w:rPr>
                <w:sz w:val="18"/>
                <w:szCs w:val="18"/>
                <w:vertAlign w:val="superscript"/>
              </w:rPr>
              <w:t>2</w:t>
            </w:r>
            <w:r w:rsidRPr="00B232BD">
              <w:rPr>
                <w:sz w:val="18"/>
                <w:szCs w:val="18"/>
              </w:rPr>
              <w:t>)</w:t>
            </w:r>
          </w:p>
        </w:tc>
        <w:tc>
          <w:tcPr>
            <w:tcW w:w="5528" w:type="dxa"/>
          </w:tcPr>
          <w:p w:rsidR="003F3386" w:rsidRPr="00B232BD" w:rsidRDefault="003F3386" w:rsidP="002877C3">
            <w:pPr>
              <w:pStyle w:val="TableTitle5-tabletext"/>
              <w:rPr>
                <w:sz w:val="18"/>
                <w:szCs w:val="18"/>
              </w:rPr>
            </w:pPr>
            <w:r w:rsidRPr="00B232BD">
              <w:rPr>
                <w:sz w:val="18"/>
                <w:szCs w:val="18"/>
              </w:rPr>
              <w:t xml:space="preserve">Landscape fragmentation as measured by Linear Density (total length of linear </w:t>
            </w:r>
            <w:r w:rsidR="00B232BD" w:rsidRPr="00B232BD">
              <w:rPr>
                <w:sz w:val="18"/>
                <w:szCs w:val="18"/>
              </w:rPr>
              <w:t xml:space="preserve">and polygonal </w:t>
            </w:r>
            <w:r w:rsidRPr="00B232BD">
              <w:rPr>
                <w:sz w:val="18"/>
                <w:szCs w:val="18"/>
              </w:rPr>
              <w:t>features within a given area, expressed as km/km</w:t>
            </w:r>
            <w:r w:rsidRPr="00B232BD">
              <w:rPr>
                <w:sz w:val="18"/>
                <w:szCs w:val="18"/>
                <w:vertAlign w:val="superscript"/>
              </w:rPr>
              <w:t>2</w:t>
            </w:r>
            <w:r w:rsidRPr="00B232BD">
              <w:rPr>
                <w:sz w:val="18"/>
                <w:szCs w:val="18"/>
              </w:rPr>
              <w:t>).</w:t>
            </w:r>
          </w:p>
        </w:tc>
      </w:tr>
      <w:tr w:rsidR="003F3386" w:rsidRPr="00B232BD" w:rsidTr="00B232BD">
        <w:trPr>
          <w:cantSplit/>
        </w:trPr>
        <w:tc>
          <w:tcPr>
            <w:tcW w:w="0" w:type="auto"/>
            <w:tcBorders>
              <w:top w:val="nil"/>
              <w:left w:val="single" w:sz="4" w:space="0" w:color="auto"/>
              <w:bottom w:val="single" w:sz="4" w:space="0" w:color="auto"/>
              <w:right w:val="single" w:sz="4" w:space="0" w:color="auto"/>
            </w:tcBorders>
          </w:tcPr>
          <w:p w:rsidR="003F3386" w:rsidRPr="00B232BD" w:rsidRDefault="003F3386" w:rsidP="002877C3">
            <w:pPr>
              <w:rPr>
                <w:sz w:val="18"/>
                <w:szCs w:val="18"/>
              </w:rPr>
            </w:pPr>
          </w:p>
        </w:tc>
        <w:tc>
          <w:tcPr>
            <w:tcW w:w="1856" w:type="dxa"/>
            <w:tcBorders>
              <w:left w:val="single" w:sz="4" w:space="0" w:color="auto"/>
            </w:tcBorders>
          </w:tcPr>
          <w:p w:rsidR="003F3386" w:rsidRPr="00B232BD" w:rsidRDefault="003F3386" w:rsidP="002877C3">
            <w:pPr>
              <w:pStyle w:val="TableTitle5-tabletext"/>
              <w:rPr>
                <w:sz w:val="18"/>
                <w:szCs w:val="18"/>
              </w:rPr>
            </w:pPr>
            <w:r w:rsidRPr="00B232BD">
              <w:rPr>
                <w:sz w:val="18"/>
                <w:szCs w:val="18"/>
              </w:rPr>
              <w:t>Forest Age</w:t>
            </w:r>
          </w:p>
        </w:tc>
        <w:tc>
          <w:tcPr>
            <w:tcW w:w="5528" w:type="dxa"/>
          </w:tcPr>
          <w:p w:rsidR="003F3386" w:rsidRPr="00B232BD" w:rsidRDefault="003F3386" w:rsidP="002877C3">
            <w:pPr>
              <w:pStyle w:val="TableTitle5-tabletext"/>
              <w:rPr>
                <w:sz w:val="18"/>
                <w:szCs w:val="18"/>
              </w:rPr>
            </w:pPr>
            <w:r w:rsidRPr="00B232BD">
              <w:rPr>
                <w:sz w:val="18"/>
                <w:szCs w:val="18"/>
              </w:rPr>
              <w:t>Forest age as reported by:</w:t>
            </w:r>
          </w:p>
          <w:p w:rsidR="003F3386" w:rsidRPr="00B232BD" w:rsidRDefault="003F3386" w:rsidP="003F3386">
            <w:pPr>
              <w:pStyle w:val="TableTitle5-tabletext"/>
              <w:numPr>
                <w:ilvl w:val="0"/>
                <w:numId w:val="23"/>
              </w:numPr>
              <w:rPr>
                <w:sz w:val="18"/>
                <w:szCs w:val="18"/>
              </w:rPr>
            </w:pPr>
            <w:r w:rsidRPr="00B232BD">
              <w:rPr>
                <w:sz w:val="18"/>
                <w:szCs w:val="18"/>
              </w:rPr>
              <w:t xml:space="preserve">average forest age (years) </w:t>
            </w:r>
          </w:p>
          <w:p w:rsidR="003F3386" w:rsidRPr="00B232BD" w:rsidRDefault="0038021C" w:rsidP="003F3386">
            <w:pPr>
              <w:pStyle w:val="TableTitle5-tabletext"/>
              <w:numPr>
                <w:ilvl w:val="0"/>
                <w:numId w:val="23"/>
              </w:numPr>
              <w:rPr>
                <w:sz w:val="18"/>
                <w:szCs w:val="18"/>
              </w:rPr>
            </w:pPr>
            <w:r>
              <w:rPr>
                <w:sz w:val="18"/>
                <w:szCs w:val="18"/>
              </w:rPr>
              <w:t>percent old forest (&gt;10</w:t>
            </w:r>
            <w:r w:rsidR="003F3386" w:rsidRPr="00B232BD">
              <w:rPr>
                <w:sz w:val="18"/>
                <w:szCs w:val="18"/>
              </w:rPr>
              <w:t>0 yrs)</w:t>
            </w:r>
          </w:p>
        </w:tc>
      </w:tr>
      <w:tr w:rsidR="00B232BD" w:rsidRPr="00B232BD" w:rsidTr="00B232BD">
        <w:trPr>
          <w:cantSplit/>
          <w:trHeight w:val="1077"/>
        </w:trPr>
        <w:tc>
          <w:tcPr>
            <w:tcW w:w="0" w:type="auto"/>
            <w:vMerge w:val="restart"/>
            <w:tcBorders>
              <w:top w:val="single" w:sz="4" w:space="0" w:color="auto"/>
              <w:left w:val="single" w:sz="4" w:space="0" w:color="auto"/>
              <w:right w:val="single" w:sz="4" w:space="0" w:color="auto"/>
            </w:tcBorders>
          </w:tcPr>
          <w:p w:rsidR="00B232BD" w:rsidRPr="00B232BD" w:rsidRDefault="00B232BD" w:rsidP="002877C3">
            <w:pPr>
              <w:rPr>
                <w:sz w:val="18"/>
                <w:szCs w:val="18"/>
              </w:rPr>
            </w:pPr>
            <w:r w:rsidRPr="00B232BD">
              <w:rPr>
                <w:sz w:val="18"/>
                <w:szCs w:val="18"/>
              </w:rPr>
              <w:t>Wildlife and Fish</w:t>
            </w:r>
          </w:p>
          <w:p w:rsidR="00B232BD" w:rsidRPr="00B232BD" w:rsidRDefault="00B232BD" w:rsidP="002877C3">
            <w:pPr>
              <w:rPr>
                <w:sz w:val="18"/>
                <w:szCs w:val="18"/>
              </w:rPr>
            </w:pPr>
          </w:p>
          <w:p w:rsidR="00B232BD" w:rsidRPr="00B232BD" w:rsidRDefault="00B232BD" w:rsidP="002877C3">
            <w:pPr>
              <w:rPr>
                <w:sz w:val="18"/>
                <w:szCs w:val="18"/>
              </w:rPr>
            </w:pPr>
          </w:p>
          <w:p w:rsidR="00B232BD" w:rsidRPr="00B232BD" w:rsidRDefault="00B232BD" w:rsidP="002877C3">
            <w:pPr>
              <w:rPr>
                <w:sz w:val="18"/>
                <w:szCs w:val="18"/>
              </w:rPr>
            </w:pPr>
          </w:p>
        </w:tc>
        <w:tc>
          <w:tcPr>
            <w:tcW w:w="1856" w:type="dxa"/>
            <w:tcBorders>
              <w:left w:val="single" w:sz="4" w:space="0" w:color="auto"/>
            </w:tcBorders>
          </w:tcPr>
          <w:p w:rsidR="00B232BD" w:rsidRPr="00B232BD" w:rsidRDefault="00B232BD" w:rsidP="002877C3">
            <w:pPr>
              <w:pStyle w:val="TableTitle5-tabletext"/>
              <w:rPr>
                <w:sz w:val="18"/>
                <w:szCs w:val="18"/>
              </w:rPr>
            </w:pPr>
            <w:r w:rsidRPr="00B232BD">
              <w:rPr>
                <w:sz w:val="18"/>
                <w:szCs w:val="18"/>
              </w:rPr>
              <w:t>Moose Habitat Suitability Index (HSI)</w:t>
            </w:r>
          </w:p>
        </w:tc>
        <w:tc>
          <w:tcPr>
            <w:tcW w:w="5528" w:type="dxa"/>
          </w:tcPr>
          <w:p w:rsidR="00B232BD" w:rsidRPr="00B232BD" w:rsidRDefault="00B232BD" w:rsidP="002877C3">
            <w:pPr>
              <w:pStyle w:val="TableTitle5-tabletext"/>
              <w:rPr>
                <w:sz w:val="18"/>
                <w:szCs w:val="18"/>
              </w:rPr>
            </w:pPr>
            <w:r w:rsidRPr="00B232BD">
              <w:rPr>
                <w:sz w:val="18"/>
                <w:szCs w:val="18"/>
              </w:rPr>
              <w:t>Relative ranking of moose habitat quality (1 = perfect habitat, 0 = no value).  The moose HSI is based on a model developed for the Regional Municipality of Wood Buffalo in Alberta (Kirk et al. 2009).  The HSI value may be interpreted as an indicator of moose population status.</w:t>
            </w:r>
          </w:p>
        </w:tc>
      </w:tr>
      <w:tr w:rsidR="00B232BD" w:rsidRPr="00B232BD" w:rsidTr="00B232BD">
        <w:trPr>
          <w:cantSplit/>
        </w:trPr>
        <w:tc>
          <w:tcPr>
            <w:tcW w:w="0" w:type="auto"/>
            <w:vMerge/>
            <w:tcBorders>
              <w:left w:val="single" w:sz="4" w:space="0" w:color="auto"/>
              <w:right w:val="single" w:sz="4" w:space="0" w:color="auto"/>
            </w:tcBorders>
          </w:tcPr>
          <w:p w:rsidR="00B232BD" w:rsidRPr="00B232BD" w:rsidRDefault="00B232BD" w:rsidP="002877C3">
            <w:pPr>
              <w:rPr>
                <w:sz w:val="18"/>
                <w:szCs w:val="18"/>
              </w:rPr>
            </w:pPr>
          </w:p>
        </w:tc>
        <w:tc>
          <w:tcPr>
            <w:tcW w:w="1856" w:type="dxa"/>
            <w:tcBorders>
              <w:left w:val="single" w:sz="4" w:space="0" w:color="auto"/>
            </w:tcBorders>
          </w:tcPr>
          <w:p w:rsidR="00B232BD" w:rsidRPr="00B232BD" w:rsidRDefault="00B232BD" w:rsidP="002877C3">
            <w:pPr>
              <w:pStyle w:val="TableTitle5-tabletext"/>
              <w:rPr>
                <w:sz w:val="18"/>
                <w:szCs w:val="18"/>
              </w:rPr>
            </w:pPr>
            <w:r w:rsidRPr="00B232BD">
              <w:rPr>
                <w:sz w:val="18"/>
                <w:szCs w:val="18"/>
              </w:rPr>
              <w:t>Fisher HSI</w:t>
            </w:r>
          </w:p>
        </w:tc>
        <w:tc>
          <w:tcPr>
            <w:tcW w:w="5528" w:type="dxa"/>
          </w:tcPr>
          <w:p w:rsidR="00B232BD" w:rsidRPr="00B232BD" w:rsidRDefault="00B232BD" w:rsidP="002877C3">
            <w:pPr>
              <w:pStyle w:val="TableTitle5-tabletext"/>
              <w:rPr>
                <w:sz w:val="18"/>
                <w:szCs w:val="18"/>
              </w:rPr>
            </w:pPr>
            <w:r w:rsidRPr="00B232BD">
              <w:rPr>
                <w:sz w:val="18"/>
                <w:szCs w:val="18"/>
              </w:rPr>
              <w:t>Relative ranking of fisher habitat quality (1 = perfect habitat, 0 = no value).  The fisher HSI is based on a model developed for the Regional Municipality of Wood Buffalo in Alberta ((Kirk et al. 2009).  The HSI value may be interpreted as an indicator of fisher population status.</w:t>
            </w:r>
          </w:p>
        </w:tc>
      </w:tr>
      <w:tr w:rsidR="00B232BD" w:rsidRPr="00B232BD" w:rsidTr="002877C3">
        <w:trPr>
          <w:cantSplit/>
        </w:trPr>
        <w:tc>
          <w:tcPr>
            <w:tcW w:w="946" w:type="dxa"/>
            <w:vMerge/>
            <w:tcBorders>
              <w:left w:val="single" w:sz="4" w:space="0" w:color="auto"/>
              <w:bottom w:val="single" w:sz="4" w:space="0" w:color="auto"/>
              <w:right w:val="single" w:sz="4" w:space="0" w:color="auto"/>
            </w:tcBorders>
          </w:tcPr>
          <w:p w:rsidR="00B232BD" w:rsidRPr="00B232BD" w:rsidRDefault="00B232BD" w:rsidP="002877C3">
            <w:pPr>
              <w:rPr>
                <w:sz w:val="18"/>
                <w:szCs w:val="18"/>
              </w:rPr>
            </w:pPr>
          </w:p>
        </w:tc>
        <w:tc>
          <w:tcPr>
            <w:tcW w:w="1856" w:type="dxa"/>
            <w:tcBorders>
              <w:top w:val="single" w:sz="4" w:space="0" w:color="auto"/>
              <w:left w:val="single" w:sz="4" w:space="0" w:color="auto"/>
            </w:tcBorders>
          </w:tcPr>
          <w:p w:rsidR="00B232BD" w:rsidRPr="00B232BD" w:rsidRDefault="00B232BD" w:rsidP="002877C3">
            <w:pPr>
              <w:pStyle w:val="TableTitle5-tabletext"/>
              <w:rPr>
                <w:sz w:val="18"/>
                <w:szCs w:val="18"/>
              </w:rPr>
            </w:pPr>
            <w:r w:rsidRPr="00B232BD">
              <w:rPr>
                <w:sz w:val="18"/>
                <w:szCs w:val="18"/>
              </w:rPr>
              <w:t>Index of Native Fish Integrity (INFI)</w:t>
            </w:r>
          </w:p>
        </w:tc>
        <w:tc>
          <w:tcPr>
            <w:tcW w:w="5528" w:type="dxa"/>
            <w:tcBorders>
              <w:top w:val="single" w:sz="4" w:space="0" w:color="auto"/>
            </w:tcBorders>
          </w:tcPr>
          <w:p w:rsidR="00B232BD" w:rsidRPr="00B232BD" w:rsidRDefault="00B232BD" w:rsidP="002877C3">
            <w:pPr>
              <w:pStyle w:val="TableTitle5-tabletext"/>
              <w:rPr>
                <w:sz w:val="18"/>
                <w:szCs w:val="18"/>
              </w:rPr>
            </w:pPr>
            <w:r w:rsidRPr="00B232BD">
              <w:rPr>
                <w:sz w:val="18"/>
                <w:szCs w:val="18"/>
              </w:rPr>
              <w:t xml:space="preserve">INFI conveys changes in abundance and composition of fish species that are most likely to change in response to human effects such as rare fish, apex predators, common specialists, common generalists, and irruptives.  An index value of 1.0 reflects an undisturbed fish community, while an index value of 0 reflects a highly disturbed community.  The INFI model was developed for northeast Alberta, with the relationship between INFI and study area attributes based on expert opinion.  Variables that negatively affect INFI include human density, water use, and watershed discontinuity due to hanging culverts (Lagimodiere and Eaton 2009).  </w:t>
            </w:r>
          </w:p>
        </w:tc>
      </w:tr>
      <w:tr w:rsidR="003F3386" w:rsidRPr="00B232BD" w:rsidTr="00B232BD">
        <w:trPr>
          <w:cantSplit/>
        </w:trPr>
        <w:tc>
          <w:tcPr>
            <w:tcW w:w="946" w:type="dxa"/>
            <w:tcBorders>
              <w:top w:val="nil"/>
              <w:left w:val="single" w:sz="4" w:space="0" w:color="auto"/>
              <w:right w:val="single" w:sz="4" w:space="0" w:color="auto"/>
            </w:tcBorders>
          </w:tcPr>
          <w:p w:rsidR="003F3386" w:rsidRPr="00B232BD" w:rsidRDefault="003F3386" w:rsidP="002877C3">
            <w:pPr>
              <w:pStyle w:val="TableTitle5-tabletext"/>
              <w:rPr>
                <w:sz w:val="18"/>
                <w:szCs w:val="18"/>
              </w:rPr>
            </w:pPr>
            <w:r w:rsidRPr="00B232BD">
              <w:rPr>
                <w:sz w:val="18"/>
                <w:szCs w:val="18"/>
              </w:rPr>
              <w:t>Water</w:t>
            </w:r>
          </w:p>
        </w:tc>
        <w:tc>
          <w:tcPr>
            <w:tcW w:w="1856" w:type="dxa"/>
            <w:tcBorders>
              <w:left w:val="single" w:sz="4" w:space="0" w:color="auto"/>
            </w:tcBorders>
          </w:tcPr>
          <w:p w:rsidR="003F3386" w:rsidRPr="00B232BD" w:rsidRDefault="003F3386" w:rsidP="002877C3">
            <w:pPr>
              <w:pStyle w:val="TableTitle5-tabletext"/>
              <w:rPr>
                <w:sz w:val="18"/>
                <w:szCs w:val="18"/>
              </w:rPr>
            </w:pPr>
            <w:r w:rsidRPr="00B232BD">
              <w:rPr>
                <w:sz w:val="18"/>
                <w:szCs w:val="18"/>
              </w:rPr>
              <w:t>Average Relative Water Quality Index</w:t>
            </w:r>
          </w:p>
        </w:tc>
        <w:tc>
          <w:tcPr>
            <w:tcW w:w="5528" w:type="dxa"/>
          </w:tcPr>
          <w:p w:rsidR="003F3386" w:rsidRPr="00B232BD" w:rsidRDefault="003F3386" w:rsidP="002877C3">
            <w:pPr>
              <w:pStyle w:val="TableTitle5-tabletext-bullets"/>
              <w:numPr>
                <w:ilvl w:val="0"/>
                <w:numId w:val="0"/>
              </w:numPr>
              <w:rPr>
                <w:sz w:val="18"/>
                <w:szCs w:val="18"/>
              </w:rPr>
            </w:pPr>
            <w:r w:rsidRPr="00B232BD">
              <w:rPr>
                <w:sz w:val="18"/>
                <w:szCs w:val="18"/>
              </w:rPr>
              <w:t>An index of relative landscape-scale water quality calculated from nitrogen, phosphorus and sediment load rates.  Values range from 1.0 (high water quality) to 0 (very poor water quality).</w:t>
            </w:r>
          </w:p>
        </w:tc>
      </w:tr>
    </w:tbl>
    <w:p w:rsidR="003F3386" w:rsidRDefault="003F3386" w:rsidP="00020D2A">
      <w:pPr>
        <w:pStyle w:val="BodyText"/>
        <w:rPr>
          <w:lang w:val="en-US"/>
        </w:rPr>
      </w:pPr>
    </w:p>
    <w:p w:rsidR="00A76656" w:rsidRDefault="00A76656" w:rsidP="00A76656">
      <w:pPr>
        <w:pStyle w:val="Heading2"/>
      </w:pPr>
      <w:bookmarkStart w:id="240" w:name="_Toc338703698"/>
      <w:r>
        <w:t>Landscape and Ecological</w:t>
      </w:r>
      <w:r w:rsidR="002877C3">
        <w:t xml:space="preserve"> Indicators</w:t>
      </w:r>
      <w:bookmarkEnd w:id="240"/>
    </w:p>
    <w:p w:rsidR="00704D2F" w:rsidRDefault="00704D2F" w:rsidP="00704D2F">
      <w:pPr>
        <w:pStyle w:val="BodyText"/>
        <w:rPr>
          <w:lang w:val="en-US"/>
        </w:rPr>
      </w:pPr>
      <w:r>
        <w:rPr>
          <w:lang w:val="en-US"/>
        </w:rPr>
        <w:t>The integrity of water, plant</w:t>
      </w:r>
      <w:r w:rsidR="00D87AE8">
        <w:rPr>
          <w:lang w:val="en-US"/>
        </w:rPr>
        <w:t>s</w:t>
      </w:r>
      <w:r>
        <w:rPr>
          <w:lang w:val="en-US"/>
        </w:rPr>
        <w:t xml:space="preserve"> and wildlife, and the </w:t>
      </w:r>
      <w:proofErr w:type="gramStart"/>
      <w:r>
        <w:rPr>
          <w:lang w:val="en-US"/>
        </w:rPr>
        <w:t>landscapes</w:t>
      </w:r>
      <w:proofErr w:type="gramEnd"/>
      <w:r>
        <w:rPr>
          <w:lang w:val="en-US"/>
        </w:rPr>
        <w:t xml:space="preserve"> on which they depend and interact, is of primary importance and concern to CLFN. As such, the indicators of water quality, moose, fisher, fish and berries were selected and simulated in this project. Since these physical and ecological indicators are affected by both the natural and anthropogenic landscape, it is important to quantify temporal and spatial changes in landscape characteristics and relate these changes to biotic indicators.</w:t>
      </w:r>
    </w:p>
    <w:p w:rsidR="00704D2F" w:rsidRPr="00704D2F" w:rsidRDefault="00704D2F" w:rsidP="00704D2F">
      <w:pPr>
        <w:pStyle w:val="BodyText"/>
        <w:rPr>
          <w:lang w:val="en-US"/>
        </w:rPr>
      </w:pPr>
      <w:r>
        <w:rPr>
          <w:lang w:val="en-US"/>
        </w:rPr>
        <w:t xml:space="preserve">This section describes in a very general sense the key dynamics that relate physical features (water), biotic components (fish, moose, </w:t>
      </w:r>
      <w:proofErr w:type="gramStart"/>
      <w:r>
        <w:rPr>
          <w:lang w:val="en-US"/>
        </w:rPr>
        <w:t>fisher</w:t>
      </w:r>
      <w:proofErr w:type="gramEnd"/>
      <w:r>
        <w:rPr>
          <w:lang w:val="en-US"/>
        </w:rPr>
        <w:t>) and landscape metrics (natural, anthropogenic, fragmentation, core area). More detailed insights to these relationships are provided in the CLFN ALCES Manual (Appendix A).</w:t>
      </w:r>
    </w:p>
    <w:p w:rsidR="009E4F21" w:rsidRDefault="009E4F21" w:rsidP="005B1655">
      <w:pPr>
        <w:pStyle w:val="Heading2"/>
      </w:pPr>
      <w:bookmarkStart w:id="241" w:name="_Toc338703699"/>
      <w:r>
        <w:t>Methodologies</w:t>
      </w:r>
      <w:bookmarkEnd w:id="241"/>
    </w:p>
    <w:p w:rsidR="00A6073C" w:rsidRDefault="00A6073C" w:rsidP="000A2C5A">
      <w:pPr>
        <w:pStyle w:val="Heading3"/>
      </w:pPr>
      <w:bookmarkStart w:id="242" w:name="_Toc293398936"/>
      <w:bookmarkStart w:id="243" w:name="_Toc338703700"/>
      <w:r>
        <w:t xml:space="preserve">Water </w:t>
      </w:r>
      <w:r w:rsidR="003D4DCB">
        <w:t xml:space="preserve">Supply and </w:t>
      </w:r>
      <w:r>
        <w:t>Demand</w:t>
      </w:r>
      <w:bookmarkEnd w:id="243"/>
    </w:p>
    <w:p w:rsidR="003D4DCB" w:rsidRDefault="003D4DCB" w:rsidP="003D4DCB">
      <w:pPr>
        <w:pStyle w:val="BodyText"/>
        <w:rPr>
          <w:lang w:val="en-US"/>
        </w:rPr>
      </w:pPr>
      <w:r>
        <w:rPr>
          <w:lang w:val="en-US"/>
        </w:rPr>
        <w:t xml:space="preserve">All </w:t>
      </w:r>
      <w:r w:rsidR="00C544DE">
        <w:rPr>
          <w:lang w:val="en-US"/>
        </w:rPr>
        <w:t>land-use</w:t>
      </w:r>
      <w:r>
        <w:rPr>
          <w:lang w:val="en-US"/>
        </w:rPr>
        <w:t>s require water directly or indirectly. The major system components in which water resides and moves in the hydrological module of ALCES are: surface lentic (standing), surface lotic (moving), and aquifers. Fluxes of water between these pools occur as precipitation, evaporation, transpiration, surface runoff, and horizontal and vertical aquifer transit.</w:t>
      </w:r>
    </w:p>
    <w:p w:rsidR="003D4DCB" w:rsidRPr="00704D2F" w:rsidRDefault="003D4DCB" w:rsidP="003D4DCB">
      <w:pPr>
        <w:pStyle w:val="BodyText"/>
        <w:rPr>
          <w:lang w:val="en-US"/>
        </w:rPr>
      </w:pPr>
      <w:r>
        <w:rPr>
          <w:lang w:val="en-US"/>
        </w:rPr>
        <w:t>By tracking the composition of the landscape, and the gross and net water demands associated with commodity production and landscape composition, the CLFN ALCES model computes gross and water demand associated with crops, livestock, residential (domestic), the hydrocarbon, forestry and industrial sectors.</w:t>
      </w:r>
    </w:p>
    <w:p w:rsidR="000A2C5A" w:rsidRDefault="000A2C5A" w:rsidP="000A2C5A">
      <w:pPr>
        <w:pStyle w:val="Heading3"/>
      </w:pPr>
      <w:bookmarkStart w:id="244" w:name="_Toc338703701"/>
      <w:r>
        <w:t>Relative Water Quality Index</w:t>
      </w:r>
      <w:bookmarkEnd w:id="244"/>
    </w:p>
    <w:p w:rsidR="000A2C5A" w:rsidRDefault="000A2C5A" w:rsidP="000A2C5A">
      <w:r>
        <w:t xml:space="preserve">Water quality was assessed by tracking changes to sediment, nitrogen, and phosphorus runoff, parameters that are negatively related to overall water quality.  Runoff associated with simulated landscapes </w:t>
      </w:r>
      <w:r w:rsidR="003D4DCB">
        <w:t>were</w:t>
      </w:r>
      <w:r>
        <w:t xml:space="preserve"> assessed by applying runoff (tonnes/ha/year) and attenuation coefficients (proportion of runoff reaching the aquatic system) used by the North Saskatchewan Watershed Alliance (2009) to assess water quality in the North Saskatchewan Watershed in Alberta (</w:t>
      </w:r>
      <w:r w:rsidR="00575CA7">
        <w:fldChar w:fldCharType="begin"/>
      </w:r>
      <w:r w:rsidR="003D4DCB">
        <w:instrText xml:space="preserve"> REF _Ref326253904 \h </w:instrText>
      </w:r>
      <w:r w:rsidR="00575CA7">
        <w:fldChar w:fldCharType="separate"/>
      </w:r>
      <w:r w:rsidR="003648B8">
        <w:t xml:space="preserve">Table </w:t>
      </w:r>
      <w:r w:rsidR="003648B8">
        <w:rPr>
          <w:noProof/>
        </w:rPr>
        <w:t>3</w:t>
      </w:r>
      <w:r w:rsidR="00575CA7">
        <w:fldChar w:fldCharType="end"/>
      </w:r>
      <w:r>
        <w:t xml:space="preserve">).  For each water quality parameter, a water quality index will then be calculated by dividing runoff associated with an undisturbed landscape by the simulated runoff estimate.  Reductions in the index reflect a decline in water quality (i.e., if export has doubled, the index value is 0.5).   </w:t>
      </w:r>
    </w:p>
    <w:p w:rsidR="005845C4" w:rsidRDefault="005845C4" w:rsidP="000A2C5A"/>
    <w:p w:rsidR="005845C4" w:rsidRDefault="005845C4" w:rsidP="000A2C5A"/>
    <w:p w:rsidR="000A2C5A" w:rsidRDefault="000A2C5A" w:rsidP="000A2C5A"/>
    <w:p w:rsidR="000A2C5A" w:rsidRDefault="000A2C5A" w:rsidP="000A2C5A">
      <w:pPr>
        <w:pStyle w:val="Caption"/>
        <w:keepNext/>
      </w:pPr>
      <w:bookmarkStart w:id="245" w:name="_Toc301950416"/>
    </w:p>
    <w:p w:rsidR="000A2C5A" w:rsidRDefault="000A2C5A" w:rsidP="000A2C5A">
      <w:pPr>
        <w:pStyle w:val="Caption"/>
        <w:keepNext/>
      </w:pPr>
      <w:bookmarkStart w:id="246" w:name="_Ref326253904"/>
      <w:bookmarkStart w:id="247" w:name="_Toc338703767"/>
      <w:proofErr w:type="gramStart"/>
      <w:r>
        <w:t xml:space="preserve">Table </w:t>
      </w:r>
      <w:r w:rsidR="00575CA7">
        <w:fldChar w:fldCharType="begin"/>
      </w:r>
      <w:r w:rsidR="00D75024">
        <w:instrText xml:space="preserve"> SEQ Table \* ARABIC </w:instrText>
      </w:r>
      <w:r w:rsidR="00575CA7">
        <w:fldChar w:fldCharType="separate"/>
      </w:r>
      <w:r w:rsidR="002B4C72">
        <w:rPr>
          <w:noProof/>
        </w:rPr>
        <w:t>3</w:t>
      </w:r>
      <w:r w:rsidR="00575CA7">
        <w:fldChar w:fldCharType="end"/>
      </w:r>
      <w:bookmarkEnd w:id="246"/>
      <w:r>
        <w:t>.</w:t>
      </w:r>
      <w:proofErr w:type="gramEnd"/>
      <w:r>
        <w:t xml:space="preserve"> Coefficients for assessing phosphorus, nitrogen, and sediment runoff associated with simulated landscapes.</w:t>
      </w:r>
      <w:bookmarkEnd w:id="245"/>
      <w:bookmarkEnd w:id="247"/>
    </w:p>
    <w:tbl>
      <w:tblPr>
        <w:tblStyle w:val="TableGrid"/>
        <w:tblW w:w="0" w:type="auto"/>
        <w:tblLook w:val="04A0"/>
      </w:tblPr>
      <w:tblGrid>
        <w:gridCol w:w="1623"/>
        <w:gridCol w:w="1223"/>
        <w:gridCol w:w="1206"/>
        <w:gridCol w:w="1196"/>
        <w:gridCol w:w="1206"/>
        <w:gridCol w:w="1196"/>
        <w:gridCol w:w="1206"/>
      </w:tblGrid>
      <w:tr w:rsidR="000A2C5A" w:rsidRPr="00DE61CE" w:rsidTr="009C76C9">
        <w:tc>
          <w:tcPr>
            <w:tcW w:w="1623" w:type="dxa"/>
          </w:tcPr>
          <w:p w:rsidR="000A2C5A" w:rsidRPr="00DE61CE" w:rsidRDefault="000A2C5A" w:rsidP="009C76C9">
            <w:pPr>
              <w:rPr>
                <w:sz w:val="20"/>
              </w:rPr>
            </w:pPr>
            <w:r w:rsidRPr="00DE61CE">
              <w:rPr>
                <w:sz w:val="20"/>
              </w:rPr>
              <w:t>Land cover type</w:t>
            </w:r>
          </w:p>
        </w:tc>
        <w:tc>
          <w:tcPr>
            <w:tcW w:w="1223" w:type="dxa"/>
          </w:tcPr>
          <w:p w:rsidR="000A2C5A" w:rsidRPr="00DE61CE" w:rsidRDefault="000A2C5A" w:rsidP="009C76C9">
            <w:pPr>
              <w:rPr>
                <w:sz w:val="20"/>
              </w:rPr>
            </w:pPr>
            <w:r w:rsidRPr="00DE61CE">
              <w:rPr>
                <w:sz w:val="20"/>
              </w:rPr>
              <w:t>Phosphorus</w:t>
            </w:r>
          </w:p>
        </w:tc>
        <w:tc>
          <w:tcPr>
            <w:tcW w:w="1206" w:type="dxa"/>
          </w:tcPr>
          <w:p w:rsidR="000A2C5A" w:rsidRPr="00DE61CE" w:rsidRDefault="000A2C5A" w:rsidP="009C76C9">
            <w:pPr>
              <w:rPr>
                <w:sz w:val="20"/>
              </w:rPr>
            </w:pPr>
          </w:p>
        </w:tc>
        <w:tc>
          <w:tcPr>
            <w:tcW w:w="1196" w:type="dxa"/>
          </w:tcPr>
          <w:p w:rsidR="000A2C5A" w:rsidRPr="00DE61CE" w:rsidRDefault="000A2C5A" w:rsidP="009C76C9">
            <w:pPr>
              <w:rPr>
                <w:sz w:val="20"/>
              </w:rPr>
            </w:pPr>
            <w:r w:rsidRPr="00DE61CE">
              <w:rPr>
                <w:sz w:val="20"/>
              </w:rPr>
              <w:t>Nitrogen</w:t>
            </w:r>
          </w:p>
        </w:tc>
        <w:tc>
          <w:tcPr>
            <w:tcW w:w="1206" w:type="dxa"/>
          </w:tcPr>
          <w:p w:rsidR="000A2C5A" w:rsidRPr="00DE61CE" w:rsidRDefault="000A2C5A" w:rsidP="009C76C9">
            <w:pPr>
              <w:rPr>
                <w:sz w:val="20"/>
              </w:rPr>
            </w:pPr>
          </w:p>
        </w:tc>
        <w:tc>
          <w:tcPr>
            <w:tcW w:w="1196" w:type="dxa"/>
          </w:tcPr>
          <w:p w:rsidR="000A2C5A" w:rsidRPr="00DE61CE" w:rsidRDefault="000A2C5A" w:rsidP="009C76C9">
            <w:pPr>
              <w:rPr>
                <w:sz w:val="20"/>
              </w:rPr>
            </w:pPr>
            <w:r w:rsidRPr="00DE61CE">
              <w:rPr>
                <w:sz w:val="20"/>
              </w:rPr>
              <w:t>Sediment</w:t>
            </w:r>
          </w:p>
        </w:tc>
        <w:tc>
          <w:tcPr>
            <w:tcW w:w="1206" w:type="dxa"/>
          </w:tcPr>
          <w:p w:rsidR="000A2C5A" w:rsidRPr="00DE61CE" w:rsidRDefault="000A2C5A" w:rsidP="009C76C9">
            <w:pPr>
              <w:rPr>
                <w:sz w:val="20"/>
              </w:rPr>
            </w:pPr>
          </w:p>
        </w:tc>
      </w:tr>
      <w:tr w:rsidR="000A2C5A" w:rsidRPr="00DE61CE" w:rsidTr="009C76C9">
        <w:tc>
          <w:tcPr>
            <w:tcW w:w="1623" w:type="dxa"/>
          </w:tcPr>
          <w:p w:rsidR="000A2C5A" w:rsidRPr="00DE61CE" w:rsidRDefault="000A2C5A" w:rsidP="009C76C9">
            <w:pPr>
              <w:rPr>
                <w:sz w:val="20"/>
              </w:rPr>
            </w:pPr>
          </w:p>
        </w:tc>
        <w:tc>
          <w:tcPr>
            <w:tcW w:w="1223" w:type="dxa"/>
          </w:tcPr>
          <w:p w:rsidR="000A2C5A" w:rsidRPr="00DE61CE" w:rsidRDefault="000A2C5A" w:rsidP="009C76C9">
            <w:pPr>
              <w:rPr>
                <w:sz w:val="20"/>
              </w:rPr>
            </w:pPr>
            <w:r w:rsidRPr="00DE61CE">
              <w:rPr>
                <w:sz w:val="20"/>
              </w:rPr>
              <w:t>Runoff (T/ha/year)</w:t>
            </w:r>
          </w:p>
        </w:tc>
        <w:tc>
          <w:tcPr>
            <w:tcW w:w="1206" w:type="dxa"/>
          </w:tcPr>
          <w:p w:rsidR="000A2C5A" w:rsidRPr="00DE61CE" w:rsidRDefault="000A2C5A" w:rsidP="009C76C9">
            <w:pPr>
              <w:rPr>
                <w:sz w:val="20"/>
              </w:rPr>
            </w:pPr>
            <w:r w:rsidRPr="00DE61CE">
              <w:rPr>
                <w:sz w:val="20"/>
              </w:rPr>
              <w:t>Delivery (proportion of runoff)</w:t>
            </w:r>
          </w:p>
        </w:tc>
        <w:tc>
          <w:tcPr>
            <w:tcW w:w="1196" w:type="dxa"/>
          </w:tcPr>
          <w:p w:rsidR="000A2C5A" w:rsidRPr="00DE61CE" w:rsidRDefault="000A2C5A" w:rsidP="009C76C9">
            <w:pPr>
              <w:rPr>
                <w:sz w:val="20"/>
              </w:rPr>
            </w:pPr>
            <w:r w:rsidRPr="00DE61CE">
              <w:rPr>
                <w:sz w:val="20"/>
              </w:rPr>
              <w:t>Runoff (T/ha/year)</w:t>
            </w:r>
          </w:p>
        </w:tc>
        <w:tc>
          <w:tcPr>
            <w:tcW w:w="1206" w:type="dxa"/>
          </w:tcPr>
          <w:p w:rsidR="000A2C5A" w:rsidRPr="00DE61CE" w:rsidRDefault="000A2C5A" w:rsidP="009C76C9">
            <w:pPr>
              <w:rPr>
                <w:sz w:val="20"/>
              </w:rPr>
            </w:pPr>
            <w:r w:rsidRPr="00DE61CE">
              <w:rPr>
                <w:sz w:val="20"/>
              </w:rPr>
              <w:t>Delivery (proportion of runoff)</w:t>
            </w:r>
          </w:p>
        </w:tc>
        <w:tc>
          <w:tcPr>
            <w:tcW w:w="1196" w:type="dxa"/>
          </w:tcPr>
          <w:p w:rsidR="000A2C5A" w:rsidRPr="00DE61CE" w:rsidRDefault="000A2C5A" w:rsidP="009C76C9">
            <w:pPr>
              <w:rPr>
                <w:sz w:val="20"/>
              </w:rPr>
            </w:pPr>
            <w:r w:rsidRPr="00DE61CE">
              <w:rPr>
                <w:sz w:val="20"/>
              </w:rPr>
              <w:t>Runoff (T/ha/year)</w:t>
            </w:r>
          </w:p>
        </w:tc>
        <w:tc>
          <w:tcPr>
            <w:tcW w:w="1206" w:type="dxa"/>
          </w:tcPr>
          <w:p w:rsidR="000A2C5A" w:rsidRPr="00DE61CE" w:rsidRDefault="000A2C5A" w:rsidP="009C76C9">
            <w:pPr>
              <w:rPr>
                <w:sz w:val="20"/>
              </w:rPr>
            </w:pPr>
            <w:r w:rsidRPr="00DE61CE">
              <w:rPr>
                <w:sz w:val="20"/>
              </w:rPr>
              <w:t>Delivery (proportion of runoff)</w:t>
            </w:r>
          </w:p>
        </w:tc>
      </w:tr>
      <w:tr w:rsidR="000A2C5A" w:rsidRPr="00DE61CE" w:rsidTr="009C76C9">
        <w:tc>
          <w:tcPr>
            <w:tcW w:w="1623" w:type="dxa"/>
          </w:tcPr>
          <w:p w:rsidR="000A2C5A" w:rsidRPr="00DE61CE" w:rsidRDefault="000A2C5A" w:rsidP="009C76C9">
            <w:pPr>
              <w:rPr>
                <w:sz w:val="20"/>
              </w:rPr>
            </w:pPr>
            <w:r w:rsidRPr="00DE61CE">
              <w:rPr>
                <w:sz w:val="20"/>
              </w:rPr>
              <w:t>Deciduous forest</w:t>
            </w:r>
          </w:p>
        </w:tc>
        <w:tc>
          <w:tcPr>
            <w:tcW w:w="1223" w:type="dxa"/>
          </w:tcPr>
          <w:p w:rsidR="000A2C5A" w:rsidRPr="00DE61CE" w:rsidRDefault="000A2C5A" w:rsidP="009C76C9">
            <w:pPr>
              <w:jc w:val="right"/>
              <w:rPr>
                <w:sz w:val="20"/>
              </w:rPr>
            </w:pPr>
            <w:r w:rsidRPr="00DE61CE">
              <w:rPr>
                <w:sz w:val="20"/>
              </w:rPr>
              <w:t>0.0002</w:t>
            </w:r>
          </w:p>
        </w:tc>
        <w:tc>
          <w:tcPr>
            <w:tcW w:w="1206" w:type="dxa"/>
          </w:tcPr>
          <w:p w:rsidR="000A2C5A" w:rsidRPr="00DE61CE" w:rsidRDefault="000A2C5A" w:rsidP="009C76C9">
            <w:pPr>
              <w:jc w:val="right"/>
              <w:rPr>
                <w:sz w:val="20"/>
              </w:rPr>
            </w:pPr>
            <w:r w:rsidRPr="00DE61CE">
              <w:rPr>
                <w:sz w:val="20"/>
              </w:rPr>
              <w:t>0.004</w:t>
            </w:r>
          </w:p>
        </w:tc>
        <w:tc>
          <w:tcPr>
            <w:tcW w:w="1196" w:type="dxa"/>
          </w:tcPr>
          <w:p w:rsidR="000A2C5A" w:rsidRPr="00DE61CE" w:rsidRDefault="000A2C5A" w:rsidP="009C76C9">
            <w:pPr>
              <w:jc w:val="right"/>
              <w:rPr>
                <w:sz w:val="20"/>
              </w:rPr>
            </w:pPr>
            <w:r w:rsidRPr="00DE61CE">
              <w:rPr>
                <w:sz w:val="20"/>
              </w:rPr>
              <w:t>0.0025</w:t>
            </w:r>
          </w:p>
        </w:tc>
        <w:tc>
          <w:tcPr>
            <w:tcW w:w="1206" w:type="dxa"/>
          </w:tcPr>
          <w:p w:rsidR="000A2C5A" w:rsidRPr="00DE61CE" w:rsidRDefault="000A2C5A" w:rsidP="009C76C9">
            <w:pPr>
              <w:jc w:val="right"/>
              <w:rPr>
                <w:sz w:val="20"/>
              </w:rPr>
            </w:pPr>
            <w:r w:rsidRPr="00DE61CE">
              <w:rPr>
                <w:sz w:val="20"/>
              </w:rPr>
              <w:t>0.03</w:t>
            </w:r>
          </w:p>
        </w:tc>
        <w:tc>
          <w:tcPr>
            <w:tcW w:w="1196" w:type="dxa"/>
          </w:tcPr>
          <w:p w:rsidR="000A2C5A" w:rsidRPr="00DE61CE" w:rsidRDefault="000A2C5A" w:rsidP="009C76C9">
            <w:pPr>
              <w:jc w:val="right"/>
              <w:rPr>
                <w:sz w:val="20"/>
              </w:rPr>
            </w:pPr>
            <w:r w:rsidRPr="00DE61CE">
              <w:rPr>
                <w:sz w:val="20"/>
              </w:rPr>
              <w:t>0.24</w:t>
            </w:r>
          </w:p>
        </w:tc>
        <w:tc>
          <w:tcPr>
            <w:tcW w:w="1206" w:type="dxa"/>
          </w:tcPr>
          <w:p w:rsidR="000A2C5A" w:rsidRPr="00DE61CE" w:rsidRDefault="000A2C5A" w:rsidP="009C76C9">
            <w:pPr>
              <w:jc w:val="right"/>
              <w:rPr>
                <w:sz w:val="20"/>
              </w:rPr>
            </w:pPr>
            <w:r w:rsidRPr="00DE61CE">
              <w:rPr>
                <w:sz w:val="20"/>
              </w:rPr>
              <w:t>0.03</w:t>
            </w:r>
          </w:p>
        </w:tc>
      </w:tr>
      <w:tr w:rsidR="000A2C5A" w:rsidRPr="00DE61CE" w:rsidTr="009C76C9">
        <w:tc>
          <w:tcPr>
            <w:tcW w:w="1623" w:type="dxa"/>
          </w:tcPr>
          <w:p w:rsidR="000A2C5A" w:rsidRPr="00DE61CE" w:rsidRDefault="000A2C5A" w:rsidP="009C76C9">
            <w:pPr>
              <w:rPr>
                <w:sz w:val="20"/>
              </w:rPr>
            </w:pPr>
            <w:r w:rsidRPr="00DE61CE">
              <w:rPr>
                <w:sz w:val="20"/>
              </w:rPr>
              <w:t>Coniferous forest</w:t>
            </w:r>
          </w:p>
        </w:tc>
        <w:tc>
          <w:tcPr>
            <w:tcW w:w="1223" w:type="dxa"/>
          </w:tcPr>
          <w:p w:rsidR="000A2C5A" w:rsidRPr="00DE61CE" w:rsidRDefault="000A2C5A" w:rsidP="009C76C9">
            <w:pPr>
              <w:jc w:val="right"/>
              <w:rPr>
                <w:sz w:val="20"/>
              </w:rPr>
            </w:pPr>
            <w:r w:rsidRPr="00DE61CE">
              <w:rPr>
                <w:sz w:val="20"/>
              </w:rPr>
              <w:t>0.0002</w:t>
            </w:r>
          </w:p>
        </w:tc>
        <w:tc>
          <w:tcPr>
            <w:tcW w:w="1206" w:type="dxa"/>
          </w:tcPr>
          <w:p w:rsidR="000A2C5A" w:rsidRPr="00DE61CE" w:rsidRDefault="000A2C5A" w:rsidP="009C76C9">
            <w:pPr>
              <w:jc w:val="right"/>
              <w:rPr>
                <w:sz w:val="20"/>
              </w:rPr>
            </w:pPr>
            <w:r w:rsidRPr="00DE61CE">
              <w:rPr>
                <w:sz w:val="20"/>
              </w:rPr>
              <w:t>0.004</w:t>
            </w:r>
          </w:p>
        </w:tc>
        <w:tc>
          <w:tcPr>
            <w:tcW w:w="1196" w:type="dxa"/>
          </w:tcPr>
          <w:p w:rsidR="000A2C5A" w:rsidRPr="00DE61CE" w:rsidRDefault="000A2C5A" w:rsidP="009C76C9">
            <w:pPr>
              <w:jc w:val="right"/>
              <w:rPr>
                <w:sz w:val="20"/>
              </w:rPr>
            </w:pPr>
            <w:r w:rsidRPr="00DE61CE">
              <w:rPr>
                <w:sz w:val="20"/>
              </w:rPr>
              <w:t>0.0025</w:t>
            </w:r>
          </w:p>
        </w:tc>
        <w:tc>
          <w:tcPr>
            <w:tcW w:w="1206" w:type="dxa"/>
          </w:tcPr>
          <w:p w:rsidR="000A2C5A" w:rsidRPr="00DE61CE" w:rsidRDefault="000A2C5A" w:rsidP="009C76C9">
            <w:pPr>
              <w:jc w:val="right"/>
              <w:rPr>
                <w:sz w:val="20"/>
              </w:rPr>
            </w:pPr>
            <w:r w:rsidRPr="00DE61CE">
              <w:rPr>
                <w:sz w:val="20"/>
              </w:rPr>
              <w:t>0.03</w:t>
            </w:r>
          </w:p>
        </w:tc>
        <w:tc>
          <w:tcPr>
            <w:tcW w:w="1196" w:type="dxa"/>
          </w:tcPr>
          <w:p w:rsidR="000A2C5A" w:rsidRPr="00DE61CE" w:rsidRDefault="000A2C5A" w:rsidP="009C76C9">
            <w:pPr>
              <w:jc w:val="right"/>
              <w:rPr>
                <w:sz w:val="20"/>
              </w:rPr>
            </w:pPr>
            <w:r w:rsidRPr="00DE61CE">
              <w:rPr>
                <w:sz w:val="20"/>
              </w:rPr>
              <w:t>0.24</w:t>
            </w:r>
          </w:p>
        </w:tc>
        <w:tc>
          <w:tcPr>
            <w:tcW w:w="1206" w:type="dxa"/>
          </w:tcPr>
          <w:p w:rsidR="000A2C5A" w:rsidRPr="00DE61CE" w:rsidRDefault="000A2C5A" w:rsidP="009C76C9">
            <w:pPr>
              <w:jc w:val="right"/>
              <w:rPr>
                <w:sz w:val="20"/>
              </w:rPr>
            </w:pPr>
            <w:r w:rsidRPr="00DE61CE">
              <w:rPr>
                <w:sz w:val="20"/>
              </w:rPr>
              <w:t>0.03</w:t>
            </w:r>
          </w:p>
        </w:tc>
      </w:tr>
      <w:tr w:rsidR="000A2C5A" w:rsidRPr="00DE61CE" w:rsidTr="009C76C9">
        <w:tc>
          <w:tcPr>
            <w:tcW w:w="1623" w:type="dxa"/>
          </w:tcPr>
          <w:p w:rsidR="000A2C5A" w:rsidRPr="00DE61CE" w:rsidRDefault="000A2C5A" w:rsidP="009C76C9">
            <w:pPr>
              <w:rPr>
                <w:sz w:val="20"/>
              </w:rPr>
            </w:pPr>
            <w:r>
              <w:rPr>
                <w:sz w:val="20"/>
              </w:rPr>
              <w:t xml:space="preserve">Mixed </w:t>
            </w:r>
            <w:r w:rsidRPr="00DE61CE">
              <w:rPr>
                <w:sz w:val="20"/>
              </w:rPr>
              <w:t>forest</w:t>
            </w:r>
          </w:p>
        </w:tc>
        <w:tc>
          <w:tcPr>
            <w:tcW w:w="1223" w:type="dxa"/>
          </w:tcPr>
          <w:p w:rsidR="000A2C5A" w:rsidRPr="00DE61CE" w:rsidRDefault="000A2C5A" w:rsidP="009C76C9">
            <w:pPr>
              <w:jc w:val="right"/>
              <w:rPr>
                <w:sz w:val="20"/>
              </w:rPr>
            </w:pPr>
            <w:r w:rsidRPr="00DE61CE">
              <w:rPr>
                <w:sz w:val="20"/>
              </w:rPr>
              <w:t>0.0002</w:t>
            </w:r>
          </w:p>
        </w:tc>
        <w:tc>
          <w:tcPr>
            <w:tcW w:w="1206" w:type="dxa"/>
          </w:tcPr>
          <w:p w:rsidR="000A2C5A" w:rsidRPr="00DE61CE" w:rsidRDefault="000A2C5A" w:rsidP="009C76C9">
            <w:pPr>
              <w:jc w:val="right"/>
              <w:rPr>
                <w:sz w:val="20"/>
              </w:rPr>
            </w:pPr>
            <w:r w:rsidRPr="00DE61CE">
              <w:rPr>
                <w:sz w:val="20"/>
              </w:rPr>
              <w:t>0.004</w:t>
            </w:r>
          </w:p>
        </w:tc>
        <w:tc>
          <w:tcPr>
            <w:tcW w:w="1196" w:type="dxa"/>
          </w:tcPr>
          <w:p w:rsidR="000A2C5A" w:rsidRPr="00DE61CE" w:rsidRDefault="000A2C5A" w:rsidP="009C76C9">
            <w:pPr>
              <w:jc w:val="right"/>
              <w:rPr>
                <w:sz w:val="20"/>
              </w:rPr>
            </w:pPr>
            <w:r w:rsidRPr="00DE61CE">
              <w:rPr>
                <w:sz w:val="20"/>
              </w:rPr>
              <w:t>0.0025</w:t>
            </w:r>
          </w:p>
        </w:tc>
        <w:tc>
          <w:tcPr>
            <w:tcW w:w="1206" w:type="dxa"/>
          </w:tcPr>
          <w:p w:rsidR="000A2C5A" w:rsidRPr="00DE61CE" w:rsidRDefault="000A2C5A" w:rsidP="009C76C9">
            <w:pPr>
              <w:jc w:val="right"/>
              <w:rPr>
                <w:sz w:val="20"/>
              </w:rPr>
            </w:pPr>
            <w:r w:rsidRPr="00DE61CE">
              <w:rPr>
                <w:sz w:val="20"/>
              </w:rPr>
              <w:t>0.03</w:t>
            </w:r>
          </w:p>
        </w:tc>
        <w:tc>
          <w:tcPr>
            <w:tcW w:w="1196" w:type="dxa"/>
          </w:tcPr>
          <w:p w:rsidR="000A2C5A" w:rsidRPr="00DE61CE" w:rsidRDefault="000A2C5A" w:rsidP="009C76C9">
            <w:pPr>
              <w:jc w:val="right"/>
              <w:rPr>
                <w:sz w:val="20"/>
              </w:rPr>
            </w:pPr>
            <w:r w:rsidRPr="00DE61CE">
              <w:rPr>
                <w:sz w:val="20"/>
              </w:rPr>
              <w:t>0.24</w:t>
            </w:r>
          </w:p>
        </w:tc>
        <w:tc>
          <w:tcPr>
            <w:tcW w:w="1206" w:type="dxa"/>
          </w:tcPr>
          <w:p w:rsidR="000A2C5A" w:rsidRPr="00DE61CE" w:rsidRDefault="000A2C5A" w:rsidP="009C76C9">
            <w:pPr>
              <w:jc w:val="right"/>
              <w:rPr>
                <w:sz w:val="20"/>
              </w:rPr>
            </w:pPr>
            <w:r w:rsidRPr="00DE61CE">
              <w:rPr>
                <w:sz w:val="20"/>
              </w:rPr>
              <w:t>0.03</w:t>
            </w:r>
          </w:p>
        </w:tc>
      </w:tr>
      <w:tr w:rsidR="000A2C5A" w:rsidRPr="00DE61CE" w:rsidTr="009C76C9">
        <w:tc>
          <w:tcPr>
            <w:tcW w:w="1623" w:type="dxa"/>
          </w:tcPr>
          <w:p w:rsidR="000A2C5A" w:rsidRPr="00DE61CE" w:rsidRDefault="000A2C5A" w:rsidP="009C76C9">
            <w:pPr>
              <w:rPr>
                <w:sz w:val="20"/>
              </w:rPr>
            </w:pPr>
            <w:r w:rsidRPr="00DE61CE">
              <w:rPr>
                <w:sz w:val="20"/>
              </w:rPr>
              <w:t>Shrub</w:t>
            </w:r>
          </w:p>
        </w:tc>
        <w:tc>
          <w:tcPr>
            <w:tcW w:w="1223" w:type="dxa"/>
          </w:tcPr>
          <w:p w:rsidR="000A2C5A" w:rsidRPr="00DE61CE" w:rsidRDefault="000A2C5A" w:rsidP="009C76C9">
            <w:pPr>
              <w:jc w:val="right"/>
              <w:rPr>
                <w:sz w:val="20"/>
              </w:rPr>
            </w:pPr>
            <w:r w:rsidRPr="00DE61CE">
              <w:rPr>
                <w:sz w:val="20"/>
              </w:rPr>
              <w:t>0.0002</w:t>
            </w:r>
          </w:p>
        </w:tc>
        <w:tc>
          <w:tcPr>
            <w:tcW w:w="1206" w:type="dxa"/>
          </w:tcPr>
          <w:p w:rsidR="000A2C5A" w:rsidRPr="00DE61CE" w:rsidRDefault="000A2C5A" w:rsidP="009C76C9">
            <w:pPr>
              <w:jc w:val="right"/>
              <w:rPr>
                <w:sz w:val="20"/>
              </w:rPr>
            </w:pPr>
            <w:r w:rsidRPr="00DE61CE">
              <w:rPr>
                <w:sz w:val="20"/>
              </w:rPr>
              <w:t>0.2</w:t>
            </w:r>
          </w:p>
        </w:tc>
        <w:tc>
          <w:tcPr>
            <w:tcW w:w="1196" w:type="dxa"/>
          </w:tcPr>
          <w:p w:rsidR="000A2C5A" w:rsidRPr="00DE61CE" w:rsidRDefault="000A2C5A" w:rsidP="009C76C9">
            <w:pPr>
              <w:jc w:val="right"/>
              <w:rPr>
                <w:sz w:val="20"/>
              </w:rPr>
            </w:pPr>
            <w:r w:rsidRPr="00DE61CE">
              <w:rPr>
                <w:sz w:val="20"/>
              </w:rPr>
              <w:t>0.0025</w:t>
            </w:r>
          </w:p>
        </w:tc>
        <w:tc>
          <w:tcPr>
            <w:tcW w:w="1206" w:type="dxa"/>
          </w:tcPr>
          <w:p w:rsidR="000A2C5A" w:rsidRPr="00DE61CE" w:rsidRDefault="000A2C5A" w:rsidP="009C76C9">
            <w:pPr>
              <w:jc w:val="right"/>
              <w:rPr>
                <w:sz w:val="20"/>
              </w:rPr>
            </w:pPr>
            <w:r w:rsidRPr="00DE61CE">
              <w:rPr>
                <w:sz w:val="20"/>
              </w:rPr>
              <w:t>0.03</w:t>
            </w:r>
          </w:p>
        </w:tc>
        <w:tc>
          <w:tcPr>
            <w:tcW w:w="1196" w:type="dxa"/>
          </w:tcPr>
          <w:p w:rsidR="000A2C5A" w:rsidRPr="00DE61CE" w:rsidRDefault="000A2C5A" w:rsidP="009C76C9">
            <w:pPr>
              <w:jc w:val="right"/>
              <w:rPr>
                <w:sz w:val="20"/>
              </w:rPr>
            </w:pPr>
            <w:r w:rsidRPr="00DE61CE">
              <w:rPr>
                <w:sz w:val="20"/>
              </w:rPr>
              <w:t>0.25</w:t>
            </w:r>
          </w:p>
        </w:tc>
        <w:tc>
          <w:tcPr>
            <w:tcW w:w="1206" w:type="dxa"/>
          </w:tcPr>
          <w:p w:rsidR="000A2C5A" w:rsidRPr="00DE61CE" w:rsidRDefault="000A2C5A" w:rsidP="009C76C9">
            <w:pPr>
              <w:jc w:val="right"/>
              <w:rPr>
                <w:sz w:val="20"/>
              </w:rPr>
            </w:pPr>
            <w:r w:rsidRPr="00DE61CE">
              <w:rPr>
                <w:sz w:val="20"/>
              </w:rPr>
              <w:t>0.03</w:t>
            </w:r>
          </w:p>
        </w:tc>
      </w:tr>
      <w:tr w:rsidR="000A2C5A" w:rsidRPr="00DE61CE" w:rsidTr="009C76C9">
        <w:tc>
          <w:tcPr>
            <w:tcW w:w="1623" w:type="dxa"/>
          </w:tcPr>
          <w:p w:rsidR="000A2C5A" w:rsidRPr="00DE61CE" w:rsidRDefault="000A2C5A" w:rsidP="009C76C9">
            <w:pPr>
              <w:rPr>
                <w:sz w:val="20"/>
              </w:rPr>
            </w:pPr>
            <w:r w:rsidRPr="00DE61CE">
              <w:rPr>
                <w:sz w:val="20"/>
              </w:rPr>
              <w:t>Bryoids</w:t>
            </w:r>
          </w:p>
        </w:tc>
        <w:tc>
          <w:tcPr>
            <w:tcW w:w="1223" w:type="dxa"/>
          </w:tcPr>
          <w:p w:rsidR="000A2C5A" w:rsidRPr="00DE61CE" w:rsidRDefault="000A2C5A" w:rsidP="009C76C9">
            <w:pPr>
              <w:jc w:val="right"/>
              <w:rPr>
                <w:sz w:val="20"/>
              </w:rPr>
            </w:pPr>
            <w:r w:rsidRPr="00DE61CE">
              <w:rPr>
                <w:sz w:val="20"/>
              </w:rPr>
              <w:t>0.0002</w:t>
            </w:r>
          </w:p>
        </w:tc>
        <w:tc>
          <w:tcPr>
            <w:tcW w:w="1206" w:type="dxa"/>
          </w:tcPr>
          <w:p w:rsidR="000A2C5A" w:rsidRPr="00DE61CE" w:rsidRDefault="000A2C5A" w:rsidP="009C76C9">
            <w:pPr>
              <w:jc w:val="right"/>
              <w:rPr>
                <w:sz w:val="20"/>
              </w:rPr>
            </w:pPr>
            <w:r w:rsidRPr="00DE61CE">
              <w:rPr>
                <w:sz w:val="20"/>
              </w:rPr>
              <w:t>0.004</w:t>
            </w:r>
          </w:p>
        </w:tc>
        <w:tc>
          <w:tcPr>
            <w:tcW w:w="1196" w:type="dxa"/>
          </w:tcPr>
          <w:p w:rsidR="000A2C5A" w:rsidRPr="00DE61CE" w:rsidRDefault="000A2C5A" w:rsidP="009C76C9">
            <w:pPr>
              <w:jc w:val="right"/>
              <w:rPr>
                <w:sz w:val="20"/>
              </w:rPr>
            </w:pPr>
            <w:r w:rsidRPr="00DE61CE">
              <w:rPr>
                <w:sz w:val="20"/>
              </w:rPr>
              <w:t>0.0025</w:t>
            </w:r>
          </w:p>
        </w:tc>
        <w:tc>
          <w:tcPr>
            <w:tcW w:w="1206" w:type="dxa"/>
          </w:tcPr>
          <w:p w:rsidR="000A2C5A" w:rsidRPr="00DE61CE" w:rsidRDefault="000A2C5A" w:rsidP="009C76C9">
            <w:pPr>
              <w:jc w:val="right"/>
              <w:rPr>
                <w:sz w:val="20"/>
              </w:rPr>
            </w:pPr>
            <w:r w:rsidRPr="00DE61CE">
              <w:rPr>
                <w:sz w:val="20"/>
              </w:rPr>
              <w:t>0.03</w:t>
            </w:r>
          </w:p>
        </w:tc>
        <w:tc>
          <w:tcPr>
            <w:tcW w:w="1196" w:type="dxa"/>
          </w:tcPr>
          <w:p w:rsidR="000A2C5A" w:rsidRPr="00DE61CE" w:rsidRDefault="000A2C5A" w:rsidP="009C76C9">
            <w:pPr>
              <w:jc w:val="right"/>
              <w:rPr>
                <w:sz w:val="20"/>
              </w:rPr>
            </w:pPr>
            <w:r w:rsidRPr="00DE61CE">
              <w:rPr>
                <w:sz w:val="20"/>
              </w:rPr>
              <w:t>0.24</w:t>
            </w:r>
          </w:p>
        </w:tc>
        <w:tc>
          <w:tcPr>
            <w:tcW w:w="1206" w:type="dxa"/>
          </w:tcPr>
          <w:p w:rsidR="000A2C5A" w:rsidRPr="00DE61CE" w:rsidRDefault="000A2C5A" w:rsidP="009C76C9">
            <w:pPr>
              <w:jc w:val="right"/>
              <w:rPr>
                <w:sz w:val="20"/>
              </w:rPr>
            </w:pPr>
            <w:r w:rsidRPr="00DE61CE">
              <w:rPr>
                <w:sz w:val="20"/>
              </w:rPr>
              <w:t>0.03</w:t>
            </w:r>
          </w:p>
        </w:tc>
      </w:tr>
      <w:tr w:rsidR="000A2C5A" w:rsidRPr="00DE61CE" w:rsidTr="009C76C9">
        <w:tc>
          <w:tcPr>
            <w:tcW w:w="1623" w:type="dxa"/>
          </w:tcPr>
          <w:p w:rsidR="000A2C5A" w:rsidRPr="00DE61CE" w:rsidRDefault="000A2C5A" w:rsidP="009C76C9">
            <w:pPr>
              <w:rPr>
                <w:sz w:val="20"/>
              </w:rPr>
            </w:pPr>
            <w:r w:rsidRPr="00DE61CE">
              <w:rPr>
                <w:sz w:val="20"/>
              </w:rPr>
              <w:t>Herbaceous</w:t>
            </w:r>
          </w:p>
        </w:tc>
        <w:tc>
          <w:tcPr>
            <w:tcW w:w="1223" w:type="dxa"/>
          </w:tcPr>
          <w:p w:rsidR="000A2C5A" w:rsidRPr="00DE61CE" w:rsidRDefault="000A2C5A" w:rsidP="009C76C9">
            <w:pPr>
              <w:jc w:val="right"/>
              <w:rPr>
                <w:sz w:val="20"/>
              </w:rPr>
            </w:pPr>
            <w:r w:rsidRPr="00DE61CE">
              <w:rPr>
                <w:sz w:val="20"/>
              </w:rPr>
              <w:t>0.00017</w:t>
            </w:r>
          </w:p>
        </w:tc>
        <w:tc>
          <w:tcPr>
            <w:tcW w:w="1206" w:type="dxa"/>
          </w:tcPr>
          <w:p w:rsidR="000A2C5A" w:rsidRPr="00DE61CE" w:rsidRDefault="000A2C5A" w:rsidP="009C76C9">
            <w:pPr>
              <w:jc w:val="right"/>
              <w:rPr>
                <w:sz w:val="20"/>
              </w:rPr>
            </w:pPr>
            <w:r w:rsidRPr="00DE61CE">
              <w:rPr>
                <w:sz w:val="20"/>
              </w:rPr>
              <w:t>0.17</w:t>
            </w:r>
          </w:p>
        </w:tc>
        <w:tc>
          <w:tcPr>
            <w:tcW w:w="1196" w:type="dxa"/>
          </w:tcPr>
          <w:p w:rsidR="000A2C5A" w:rsidRPr="00DE61CE" w:rsidRDefault="000A2C5A" w:rsidP="009C76C9">
            <w:pPr>
              <w:jc w:val="right"/>
              <w:rPr>
                <w:sz w:val="20"/>
              </w:rPr>
            </w:pPr>
            <w:r w:rsidRPr="00DE61CE">
              <w:rPr>
                <w:sz w:val="20"/>
              </w:rPr>
              <w:t>0.00106</w:t>
            </w:r>
          </w:p>
        </w:tc>
        <w:tc>
          <w:tcPr>
            <w:tcW w:w="1206" w:type="dxa"/>
          </w:tcPr>
          <w:p w:rsidR="000A2C5A" w:rsidRPr="00DE61CE" w:rsidRDefault="000A2C5A" w:rsidP="009C76C9">
            <w:pPr>
              <w:jc w:val="right"/>
              <w:rPr>
                <w:sz w:val="20"/>
              </w:rPr>
            </w:pPr>
            <w:r w:rsidRPr="00DE61CE">
              <w:rPr>
                <w:sz w:val="20"/>
              </w:rPr>
              <w:t>0.03</w:t>
            </w:r>
          </w:p>
        </w:tc>
        <w:tc>
          <w:tcPr>
            <w:tcW w:w="1196" w:type="dxa"/>
          </w:tcPr>
          <w:p w:rsidR="000A2C5A" w:rsidRPr="00DE61CE" w:rsidRDefault="000A2C5A" w:rsidP="009C76C9">
            <w:pPr>
              <w:jc w:val="right"/>
              <w:rPr>
                <w:sz w:val="20"/>
              </w:rPr>
            </w:pPr>
            <w:r w:rsidRPr="00DE61CE">
              <w:rPr>
                <w:sz w:val="20"/>
              </w:rPr>
              <w:t xml:space="preserve">0.2404 </w:t>
            </w:r>
          </w:p>
        </w:tc>
        <w:tc>
          <w:tcPr>
            <w:tcW w:w="1206" w:type="dxa"/>
          </w:tcPr>
          <w:p w:rsidR="000A2C5A" w:rsidRPr="00DE61CE" w:rsidRDefault="000A2C5A" w:rsidP="009C76C9">
            <w:pPr>
              <w:jc w:val="right"/>
              <w:rPr>
                <w:sz w:val="20"/>
              </w:rPr>
            </w:pPr>
            <w:r w:rsidRPr="00DE61CE">
              <w:rPr>
                <w:sz w:val="20"/>
              </w:rPr>
              <w:t>0.03</w:t>
            </w:r>
          </w:p>
        </w:tc>
      </w:tr>
      <w:tr w:rsidR="000A2C5A" w:rsidRPr="00DE61CE" w:rsidTr="009C76C9">
        <w:tc>
          <w:tcPr>
            <w:tcW w:w="1623" w:type="dxa"/>
          </w:tcPr>
          <w:p w:rsidR="000A2C5A" w:rsidRPr="00DE61CE" w:rsidRDefault="000A2C5A" w:rsidP="009C76C9">
            <w:pPr>
              <w:rPr>
                <w:sz w:val="20"/>
              </w:rPr>
            </w:pPr>
            <w:r w:rsidRPr="00DE61CE">
              <w:rPr>
                <w:sz w:val="20"/>
              </w:rPr>
              <w:t>Grassland</w:t>
            </w:r>
          </w:p>
        </w:tc>
        <w:tc>
          <w:tcPr>
            <w:tcW w:w="1223" w:type="dxa"/>
          </w:tcPr>
          <w:p w:rsidR="000A2C5A" w:rsidRPr="00DE61CE" w:rsidRDefault="000A2C5A" w:rsidP="009C76C9">
            <w:pPr>
              <w:jc w:val="right"/>
              <w:rPr>
                <w:sz w:val="20"/>
              </w:rPr>
            </w:pPr>
            <w:r w:rsidRPr="00DE61CE">
              <w:rPr>
                <w:sz w:val="20"/>
              </w:rPr>
              <w:t>0.00017</w:t>
            </w:r>
          </w:p>
        </w:tc>
        <w:tc>
          <w:tcPr>
            <w:tcW w:w="1206" w:type="dxa"/>
          </w:tcPr>
          <w:p w:rsidR="000A2C5A" w:rsidRPr="00DE61CE" w:rsidRDefault="000A2C5A" w:rsidP="009C76C9">
            <w:pPr>
              <w:jc w:val="right"/>
              <w:rPr>
                <w:sz w:val="20"/>
              </w:rPr>
            </w:pPr>
            <w:r w:rsidRPr="00DE61CE">
              <w:rPr>
                <w:sz w:val="20"/>
              </w:rPr>
              <w:t>0.17</w:t>
            </w:r>
          </w:p>
        </w:tc>
        <w:tc>
          <w:tcPr>
            <w:tcW w:w="1196" w:type="dxa"/>
          </w:tcPr>
          <w:p w:rsidR="000A2C5A" w:rsidRPr="00DE61CE" w:rsidRDefault="000A2C5A" w:rsidP="009C76C9">
            <w:pPr>
              <w:jc w:val="right"/>
              <w:rPr>
                <w:sz w:val="20"/>
              </w:rPr>
            </w:pPr>
            <w:r w:rsidRPr="00DE61CE">
              <w:rPr>
                <w:sz w:val="20"/>
              </w:rPr>
              <w:t>0.00106</w:t>
            </w:r>
          </w:p>
        </w:tc>
        <w:tc>
          <w:tcPr>
            <w:tcW w:w="1206" w:type="dxa"/>
          </w:tcPr>
          <w:p w:rsidR="000A2C5A" w:rsidRPr="00DE61CE" w:rsidRDefault="000A2C5A" w:rsidP="009C76C9">
            <w:pPr>
              <w:jc w:val="right"/>
              <w:rPr>
                <w:sz w:val="20"/>
              </w:rPr>
            </w:pPr>
            <w:r w:rsidRPr="00DE61CE">
              <w:rPr>
                <w:sz w:val="20"/>
              </w:rPr>
              <w:t>0.03</w:t>
            </w:r>
          </w:p>
        </w:tc>
        <w:tc>
          <w:tcPr>
            <w:tcW w:w="1196" w:type="dxa"/>
          </w:tcPr>
          <w:p w:rsidR="000A2C5A" w:rsidRPr="00DE61CE" w:rsidRDefault="000A2C5A" w:rsidP="009C76C9">
            <w:pPr>
              <w:jc w:val="right"/>
              <w:rPr>
                <w:sz w:val="20"/>
              </w:rPr>
            </w:pPr>
            <w:r w:rsidRPr="00DE61CE">
              <w:rPr>
                <w:sz w:val="20"/>
              </w:rPr>
              <w:t>0.2404</w:t>
            </w:r>
          </w:p>
        </w:tc>
        <w:tc>
          <w:tcPr>
            <w:tcW w:w="1206" w:type="dxa"/>
          </w:tcPr>
          <w:p w:rsidR="000A2C5A" w:rsidRPr="00DE61CE" w:rsidRDefault="000A2C5A" w:rsidP="009C76C9">
            <w:pPr>
              <w:jc w:val="right"/>
              <w:rPr>
                <w:sz w:val="20"/>
              </w:rPr>
            </w:pPr>
            <w:r w:rsidRPr="00DE61CE">
              <w:rPr>
                <w:sz w:val="20"/>
              </w:rPr>
              <w:t>0.03</w:t>
            </w:r>
          </w:p>
        </w:tc>
      </w:tr>
      <w:tr w:rsidR="000A2C5A" w:rsidRPr="00DE61CE" w:rsidTr="009C76C9">
        <w:tc>
          <w:tcPr>
            <w:tcW w:w="1623" w:type="dxa"/>
          </w:tcPr>
          <w:p w:rsidR="000A2C5A" w:rsidRPr="00DE61CE" w:rsidRDefault="000A2C5A" w:rsidP="009C76C9">
            <w:pPr>
              <w:rPr>
                <w:sz w:val="20"/>
              </w:rPr>
            </w:pPr>
            <w:r w:rsidRPr="00DE61CE">
              <w:rPr>
                <w:sz w:val="20"/>
              </w:rPr>
              <w:t>Treed peatland</w:t>
            </w:r>
          </w:p>
        </w:tc>
        <w:tc>
          <w:tcPr>
            <w:tcW w:w="1223" w:type="dxa"/>
          </w:tcPr>
          <w:p w:rsidR="000A2C5A" w:rsidRPr="00DE61CE" w:rsidRDefault="000A2C5A" w:rsidP="009C76C9">
            <w:pPr>
              <w:jc w:val="right"/>
              <w:rPr>
                <w:sz w:val="20"/>
              </w:rPr>
            </w:pPr>
            <w:r w:rsidRPr="00DE61CE">
              <w:rPr>
                <w:sz w:val="20"/>
              </w:rPr>
              <w:t>0.0002</w:t>
            </w:r>
          </w:p>
        </w:tc>
        <w:tc>
          <w:tcPr>
            <w:tcW w:w="1206" w:type="dxa"/>
          </w:tcPr>
          <w:p w:rsidR="000A2C5A" w:rsidRPr="00DE61CE" w:rsidRDefault="000A2C5A" w:rsidP="009C76C9">
            <w:pPr>
              <w:jc w:val="right"/>
              <w:rPr>
                <w:sz w:val="20"/>
              </w:rPr>
            </w:pPr>
            <w:r w:rsidRPr="00DE61CE">
              <w:rPr>
                <w:sz w:val="20"/>
              </w:rPr>
              <w:t xml:space="preserve">0.004 </w:t>
            </w:r>
          </w:p>
        </w:tc>
        <w:tc>
          <w:tcPr>
            <w:tcW w:w="1196" w:type="dxa"/>
          </w:tcPr>
          <w:p w:rsidR="000A2C5A" w:rsidRPr="00DE61CE" w:rsidRDefault="000A2C5A" w:rsidP="009C76C9">
            <w:pPr>
              <w:jc w:val="right"/>
              <w:rPr>
                <w:sz w:val="20"/>
              </w:rPr>
            </w:pPr>
            <w:r w:rsidRPr="00DE61CE">
              <w:rPr>
                <w:sz w:val="20"/>
              </w:rPr>
              <w:t>0.0025</w:t>
            </w:r>
          </w:p>
        </w:tc>
        <w:tc>
          <w:tcPr>
            <w:tcW w:w="1206" w:type="dxa"/>
          </w:tcPr>
          <w:p w:rsidR="000A2C5A" w:rsidRPr="00DE61CE" w:rsidRDefault="000A2C5A" w:rsidP="009C76C9">
            <w:pPr>
              <w:jc w:val="right"/>
              <w:rPr>
                <w:sz w:val="20"/>
              </w:rPr>
            </w:pPr>
            <w:r w:rsidRPr="00DE61CE">
              <w:rPr>
                <w:sz w:val="20"/>
              </w:rPr>
              <w:t>0.03</w:t>
            </w:r>
          </w:p>
        </w:tc>
        <w:tc>
          <w:tcPr>
            <w:tcW w:w="1196" w:type="dxa"/>
          </w:tcPr>
          <w:p w:rsidR="000A2C5A" w:rsidRPr="00DE61CE" w:rsidRDefault="000A2C5A" w:rsidP="009C76C9">
            <w:pPr>
              <w:jc w:val="right"/>
              <w:rPr>
                <w:sz w:val="20"/>
              </w:rPr>
            </w:pPr>
            <w:r w:rsidRPr="00DE61CE">
              <w:rPr>
                <w:sz w:val="20"/>
              </w:rPr>
              <w:t>0.24</w:t>
            </w:r>
          </w:p>
        </w:tc>
        <w:tc>
          <w:tcPr>
            <w:tcW w:w="1206" w:type="dxa"/>
          </w:tcPr>
          <w:p w:rsidR="000A2C5A" w:rsidRPr="00DE61CE" w:rsidRDefault="000A2C5A" w:rsidP="009C76C9">
            <w:pPr>
              <w:jc w:val="right"/>
              <w:rPr>
                <w:sz w:val="20"/>
              </w:rPr>
            </w:pPr>
            <w:r w:rsidRPr="00DE61CE">
              <w:rPr>
                <w:sz w:val="20"/>
              </w:rPr>
              <w:t>0.03</w:t>
            </w:r>
          </w:p>
        </w:tc>
      </w:tr>
      <w:tr w:rsidR="000A2C5A" w:rsidRPr="00DE61CE" w:rsidTr="009C76C9">
        <w:tc>
          <w:tcPr>
            <w:tcW w:w="1623" w:type="dxa"/>
          </w:tcPr>
          <w:p w:rsidR="000A2C5A" w:rsidRPr="00DE61CE" w:rsidRDefault="000A2C5A" w:rsidP="009C76C9">
            <w:pPr>
              <w:rPr>
                <w:sz w:val="20"/>
              </w:rPr>
            </w:pPr>
            <w:r w:rsidRPr="00DE61CE">
              <w:rPr>
                <w:sz w:val="20"/>
              </w:rPr>
              <w:t>Shrub peatland</w:t>
            </w:r>
          </w:p>
        </w:tc>
        <w:tc>
          <w:tcPr>
            <w:tcW w:w="1223" w:type="dxa"/>
          </w:tcPr>
          <w:p w:rsidR="000A2C5A" w:rsidRPr="00DE61CE" w:rsidRDefault="000A2C5A" w:rsidP="009C76C9">
            <w:pPr>
              <w:jc w:val="right"/>
              <w:rPr>
                <w:sz w:val="20"/>
              </w:rPr>
            </w:pPr>
            <w:r w:rsidRPr="00DE61CE">
              <w:rPr>
                <w:sz w:val="20"/>
              </w:rPr>
              <w:t>0.0002</w:t>
            </w:r>
          </w:p>
        </w:tc>
        <w:tc>
          <w:tcPr>
            <w:tcW w:w="1206" w:type="dxa"/>
          </w:tcPr>
          <w:p w:rsidR="000A2C5A" w:rsidRPr="00DE61CE" w:rsidRDefault="000A2C5A" w:rsidP="009C76C9">
            <w:pPr>
              <w:jc w:val="right"/>
              <w:rPr>
                <w:sz w:val="20"/>
              </w:rPr>
            </w:pPr>
            <w:r w:rsidRPr="00DE61CE">
              <w:rPr>
                <w:sz w:val="20"/>
              </w:rPr>
              <w:t xml:space="preserve">0.004 </w:t>
            </w:r>
          </w:p>
        </w:tc>
        <w:tc>
          <w:tcPr>
            <w:tcW w:w="1196" w:type="dxa"/>
          </w:tcPr>
          <w:p w:rsidR="000A2C5A" w:rsidRPr="00DE61CE" w:rsidRDefault="000A2C5A" w:rsidP="009C76C9">
            <w:pPr>
              <w:jc w:val="right"/>
              <w:rPr>
                <w:sz w:val="20"/>
              </w:rPr>
            </w:pPr>
            <w:r w:rsidRPr="00DE61CE">
              <w:rPr>
                <w:sz w:val="20"/>
              </w:rPr>
              <w:t>0.0025</w:t>
            </w:r>
          </w:p>
        </w:tc>
        <w:tc>
          <w:tcPr>
            <w:tcW w:w="1206" w:type="dxa"/>
          </w:tcPr>
          <w:p w:rsidR="000A2C5A" w:rsidRPr="00DE61CE" w:rsidRDefault="000A2C5A" w:rsidP="009C76C9">
            <w:pPr>
              <w:jc w:val="right"/>
              <w:rPr>
                <w:sz w:val="20"/>
              </w:rPr>
            </w:pPr>
            <w:r w:rsidRPr="00DE61CE">
              <w:rPr>
                <w:sz w:val="20"/>
              </w:rPr>
              <w:t>0.03</w:t>
            </w:r>
          </w:p>
        </w:tc>
        <w:tc>
          <w:tcPr>
            <w:tcW w:w="1196" w:type="dxa"/>
          </w:tcPr>
          <w:p w:rsidR="000A2C5A" w:rsidRPr="00DE61CE" w:rsidRDefault="000A2C5A" w:rsidP="009C76C9">
            <w:pPr>
              <w:jc w:val="right"/>
              <w:rPr>
                <w:sz w:val="20"/>
              </w:rPr>
            </w:pPr>
            <w:r w:rsidRPr="00DE61CE">
              <w:rPr>
                <w:sz w:val="20"/>
              </w:rPr>
              <w:t>0.24</w:t>
            </w:r>
          </w:p>
        </w:tc>
        <w:tc>
          <w:tcPr>
            <w:tcW w:w="1206" w:type="dxa"/>
          </w:tcPr>
          <w:p w:rsidR="000A2C5A" w:rsidRPr="00DE61CE" w:rsidRDefault="000A2C5A" w:rsidP="009C76C9">
            <w:pPr>
              <w:jc w:val="right"/>
              <w:rPr>
                <w:sz w:val="20"/>
              </w:rPr>
            </w:pPr>
            <w:r w:rsidRPr="00DE61CE">
              <w:rPr>
                <w:sz w:val="20"/>
              </w:rPr>
              <w:t>0.03</w:t>
            </w:r>
          </w:p>
        </w:tc>
      </w:tr>
      <w:tr w:rsidR="000A2C5A" w:rsidRPr="00DE61CE" w:rsidTr="009C76C9">
        <w:tc>
          <w:tcPr>
            <w:tcW w:w="1623" w:type="dxa"/>
          </w:tcPr>
          <w:p w:rsidR="000A2C5A" w:rsidRPr="00DE61CE" w:rsidRDefault="000A2C5A" w:rsidP="009C76C9">
            <w:pPr>
              <w:rPr>
                <w:sz w:val="20"/>
              </w:rPr>
            </w:pPr>
            <w:r>
              <w:rPr>
                <w:sz w:val="20"/>
              </w:rPr>
              <w:t>Herb.</w:t>
            </w:r>
            <w:r w:rsidRPr="00DE61CE">
              <w:rPr>
                <w:sz w:val="20"/>
              </w:rPr>
              <w:t xml:space="preserve"> peatland</w:t>
            </w:r>
          </w:p>
        </w:tc>
        <w:tc>
          <w:tcPr>
            <w:tcW w:w="1223" w:type="dxa"/>
          </w:tcPr>
          <w:p w:rsidR="000A2C5A" w:rsidRPr="00DE61CE" w:rsidRDefault="000A2C5A" w:rsidP="009C76C9">
            <w:pPr>
              <w:jc w:val="right"/>
              <w:rPr>
                <w:sz w:val="20"/>
              </w:rPr>
            </w:pPr>
            <w:r w:rsidRPr="00DE61CE">
              <w:rPr>
                <w:sz w:val="20"/>
              </w:rPr>
              <w:t>0.0002</w:t>
            </w:r>
          </w:p>
        </w:tc>
        <w:tc>
          <w:tcPr>
            <w:tcW w:w="1206" w:type="dxa"/>
          </w:tcPr>
          <w:p w:rsidR="000A2C5A" w:rsidRPr="00DE61CE" w:rsidRDefault="000A2C5A" w:rsidP="009C76C9">
            <w:pPr>
              <w:jc w:val="right"/>
              <w:rPr>
                <w:sz w:val="20"/>
              </w:rPr>
            </w:pPr>
            <w:r w:rsidRPr="00DE61CE">
              <w:rPr>
                <w:sz w:val="20"/>
              </w:rPr>
              <w:t>0.004</w:t>
            </w:r>
          </w:p>
        </w:tc>
        <w:tc>
          <w:tcPr>
            <w:tcW w:w="1196" w:type="dxa"/>
          </w:tcPr>
          <w:p w:rsidR="000A2C5A" w:rsidRPr="00DE61CE" w:rsidRDefault="000A2C5A" w:rsidP="009C76C9">
            <w:pPr>
              <w:jc w:val="right"/>
              <w:rPr>
                <w:sz w:val="20"/>
              </w:rPr>
            </w:pPr>
            <w:r w:rsidRPr="00DE61CE">
              <w:rPr>
                <w:sz w:val="20"/>
              </w:rPr>
              <w:t>0.0025</w:t>
            </w:r>
          </w:p>
        </w:tc>
        <w:tc>
          <w:tcPr>
            <w:tcW w:w="1206" w:type="dxa"/>
          </w:tcPr>
          <w:p w:rsidR="000A2C5A" w:rsidRPr="00DE61CE" w:rsidRDefault="000A2C5A" w:rsidP="009C76C9">
            <w:pPr>
              <w:jc w:val="right"/>
              <w:rPr>
                <w:sz w:val="20"/>
              </w:rPr>
            </w:pPr>
            <w:r w:rsidRPr="00DE61CE">
              <w:rPr>
                <w:sz w:val="20"/>
              </w:rPr>
              <w:t>0.03</w:t>
            </w:r>
          </w:p>
        </w:tc>
        <w:tc>
          <w:tcPr>
            <w:tcW w:w="1196" w:type="dxa"/>
          </w:tcPr>
          <w:p w:rsidR="000A2C5A" w:rsidRPr="00DE61CE" w:rsidRDefault="000A2C5A" w:rsidP="009C76C9">
            <w:pPr>
              <w:jc w:val="right"/>
              <w:rPr>
                <w:sz w:val="20"/>
              </w:rPr>
            </w:pPr>
            <w:r w:rsidRPr="00DE61CE">
              <w:rPr>
                <w:sz w:val="20"/>
              </w:rPr>
              <w:t>0.24</w:t>
            </w:r>
          </w:p>
        </w:tc>
        <w:tc>
          <w:tcPr>
            <w:tcW w:w="1206" w:type="dxa"/>
          </w:tcPr>
          <w:p w:rsidR="000A2C5A" w:rsidRPr="00DE61CE" w:rsidRDefault="000A2C5A" w:rsidP="009C76C9">
            <w:pPr>
              <w:jc w:val="right"/>
              <w:rPr>
                <w:sz w:val="20"/>
              </w:rPr>
            </w:pPr>
            <w:r w:rsidRPr="00DE61CE">
              <w:rPr>
                <w:sz w:val="20"/>
              </w:rPr>
              <w:t>0.6</w:t>
            </w:r>
          </w:p>
        </w:tc>
      </w:tr>
      <w:tr w:rsidR="000A2C5A" w:rsidRPr="00DE61CE" w:rsidTr="009C76C9">
        <w:tc>
          <w:tcPr>
            <w:tcW w:w="1623" w:type="dxa"/>
          </w:tcPr>
          <w:p w:rsidR="000A2C5A" w:rsidRPr="00DE61CE" w:rsidRDefault="000A2C5A" w:rsidP="009C76C9">
            <w:pPr>
              <w:rPr>
                <w:sz w:val="20"/>
              </w:rPr>
            </w:pPr>
            <w:r w:rsidRPr="00DE61CE">
              <w:rPr>
                <w:sz w:val="20"/>
              </w:rPr>
              <w:t>Barren</w:t>
            </w:r>
          </w:p>
        </w:tc>
        <w:tc>
          <w:tcPr>
            <w:tcW w:w="1223" w:type="dxa"/>
          </w:tcPr>
          <w:p w:rsidR="000A2C5A" w:rsidRPr="00DE61CE" w:rsidRDefault="000A2C5A" w:rsidP="009C76C9">
            <w:pPr>
              <w:jc w:val="right"/>
              <w:rPr>
                <w:sz w:val="20"/>
              </w:rPr>
            </w:pPr>
            <w:r w:rsidRPr="00DE61CE">
              <w:rPr>
                <w:sz w:val="20"/>
              </w:rPr>
              <w:t>0.00005</w:t>
            </w:r>
          </w:p>
        </w:tc>
        <w:tc>
          <w:tcPr>
            <w:tcW w:w="1206" w:type="dxa"/>
          </w:tcPr>
          <w:p w:rsidR="000A2C5A" w:rsidRPr="00DE61CE" w:rsidRDefault="000A2C5A" w:rsidP="009C76C9">
            <w:pPr>
              <w:jc w:val="right"/>
              <w:rPr>
                <w:sz w:val="20"/>
              </w:rPr>
            </w:pPr>
            <w:r w:rsidRPr="00DE61CE">
              <w:rPr>
                <w:sz w:val="20"/>
              </w:rPr>
              <w:t>0.1</w:t>
            </w:r>
          </w:p>
        </w:tc>
        <w:tc>
          <w:tcPr>
            <w:tcW w:w="1196" w:type="dxa"/>
          </w:tcPr>
          <w:p w:rsidR="000A2C5A" w:rsidRPr="00DE61CE" w:rsidRDefault="000A2C5A" w:rsidP="009C76C9">
            <w:pPr>
              <w:jc w:val="right"/>
              <w:rPr>
                <w:sz w:val="20"/>
              </w:rPr>
            </w:pPr>
            <w:r w:rsidRPr="00DE61CE">
              <w:rPr>
                <w:sz w:val="20"/>
              </w:rPr>
              <w:t>0.00275</w:t>
            </w:r>
          </w:p>
        </w:tc>
        <w:tc>
          <w:tcPr>
            <w:tcW w:w="1206" w:type="dxa"/>
          </w:tcPr>
          <w:p w:rsidR="000A2C5A" w:rsidRPr="00DE61CE" w:rsidRDefault="000A2C5A" w:rsidP="009C76C9">
            <w:pPr>
              <w:jc w:val="right"/>
              <w:rPr>
                <w:sz w:val="20"/>
              </w:rPr>
            </w:pPr>
            <w:r w:rsidRPr="00DE61CE">
              <w:rPr>
                <w:sz w:val="20"/>
              </w:rPr>
              <w:t>0.5</w:t>
            </w:r>
          </w:p>
        </w:tc>
        <w:tc>
          <w:tcPr>
            <w:tcW w:w="1196" w:type="dxa"/>
          </w:tcPr>
          <w:p w:rsidR="000A2C5A" w:rsidRPr="00DE61CE" w:rsidRDefault="000A2C5A" w:rsidP="009C76C9">
            <w:pPr>
              <w:jc w:val="right"/>
              <w:rPr>
                <w:sz w:val="20"/>
              </w:rPr>
            </w:pPr>
            <w:r w:rsidRPr="00DE61CE">
              <w:rPr>
                <w:sz w:val="20"/>
              </w:rPr>
              <w:t>0.25</w:t>
            </w:r>
          </w:p>
        </w:tc>
        <w:tc>
          <w:tcPr>
            <w:tcW w:w="1206" w:type="dxa"/>
          </w:tcPr>
          <w:p w:rsidR="000A2C5A" w:rsidRPr="00DE61CE" w:rsidRDefault="000A2C5A" w:rsidP="009C76C9">
            <w:pPr>
              <w:jc w:val="right"/>
              <w:rPr>
                <w:sz w:val="20"/>
              </w:rPr>
            </w:pPr>
            <w:r w:rsidRPr="00DE61CE">
              <w:rPr>
                <w:sz w:val="20"/>
              </w:rPr>
              <w:t>0.5</w:t>
            </w:r>
          </w:p>
        </w:tc>
      </w:tr>
      <w:tr w:rsidR="000A2C5A" w:rsidRPr="00DE61CE" w:rsidTr="009C76C9">
        <w:tc>
          <w:tcPr>
            <w:tcW w:w="1623" w:type="dxa"/>
          </w:tcPr>
          <w:p w:rsidR="000A2C5A" w:rsidRPr="00DE61CE" w:rsidRDefault="000A2C5A" w:rsidP="009C76C9">
            <w:pPr>
              <w:rPr>
                <w:sz w:val="20"/>
              </w:rPr>
            </w:pPr>
            <w:r w:rsidRPr="00DE61CE">
              <w:rPr>
                <w:sz w:val="20"/>
              </w:rPr>
              <w:t>Water</w:t>
            </w:r>
          </w:p>
        </w:tc>
        <w:tc>
          <w:tcPr>
            <w:tcW w:w="1223" w:type="dxa"/>
          </w:tcPr>
          <w:p w:rsidR="000A2C5A" w:rsidRPr="00DE61CE" w:rsidRDefault="000A2C5A" w:rsidP="009C76C9">
            <w:pPr>
              <w:jc w:val="right"/>
              <w:rPr>
                <w:sz w:val="20"/>
              </w:rPr>
            </w:pPr>
            <w:r w:rsidRPr="00DE61CE">
              <w:rPr>
                <w:sz w:val="20"/>
              </w:rPr>
              <w:t>0</w:t>
            </w:r>
            <w:r w:rsidR="001419AF">
              <w:rPr>
                <w:sz w:val="20"/>
              </w:rPr>
              <w:t>.00</w:t>
            </w:r>
          </w:p>
        </w:tc>
        <w:tc>
          <w:tcPr>
            <w:tcW w:w="1206" w:type="dxa"/>
          </w:tcPr>
          <w:p w:rsidR="000A2C5A" w:rsidRPr="00DE61CE" w:rsidRDefault="000A2C5A" w:rsidP="009C76C9">
            <w:pPr>
              <w:jc w:val="right"/>
              <w:rPr>
                <w:sz w:val="20"/>
              </w:rPr>
            </w:pPr>
            <w:r w:rsidRPr="00DE61CE">
              <w:rPr>
                <w:sz w:val="20"/>
              </w:rPr>
              <w:t>0.25</w:t>
            </w:r>
          </w:p>
        </w:tc>
        <w:tc>
          <w:tcPr>
            <w:tcW w:w="1196" w:type="dxa"/>
          </w:tcPr>
          <w:p w:rsidR="000A2C5A" w:rsidRPr="00DE61CE" w:rsidRDefault="000A2C5A" w:rsidP="009C76C9">
            <w:pPr>
              <w:jc w:val="right"/>
              <w:rPr>
                <w:sz w:val="20"/>
              </w:rPr>
            </w:pPr>
            <w:r w:rsidRPr="00DE61CE">
              <w:rPr>
                <w:sz w:val="20"/>
              </w:rPr>
              <w:t>0</w:t>
            </w:r>
            <w:r w:rsidR="001419AF">
              <w:rPr>
                <w:sz w:val="20"/>
              </w:rPr>
              <w:t>.00</w:t>
            </w:r>
          </w:p>
        </w:tc>
        <w:tc>
          <w:tcPr>
            <w:tcW w:w="1206" w:type="dxa"/>
          </w:tcPr>
          <w:p w:rsidR="000A2C5A" w:rsidRPr="00DE61CE" w:rsidRDefault="000A2C5A" w:rsidP="009C76C9">
            <w:pPr>
              <w:jc w:val="right"/>
              <w:rPr>
                <w:sz w:val="20"/>
              </w:rPr>
            </w:pPr>
            <w:r w:rsidRPr="00DE61CE">
              <w:rPr>
                <w:sz w:val="20"/>
              </w:rPr>
              <w:t>1</w:t>
            </w:r>
            <w:r w:rsidR="001419AF">
              <w:rPr>
                <w:sz w:val="20"/>
              </w:rPr>
              <w:t>.00</w:t>
            </w:r>
          </w:p>
        </w:tc>
        <w:tc>
          <w:tcPr>
            <w:tcW w:w="1196" w:type="dxa"/>
          </w:tcPr>
          <w:p w:rsidR="000A2C5A" w:rsidRPr="00DE61CE" w:rsidRDefault="000A2C5A" w:rsidP="009C76C9">
            <w:pPr>
              <w:jc w:val="right"/>
              <w:rPr>
                <w:sz w:val="20"/>
              </w:rPr>
            </w:pPr>
            <w:r w:rsidRPr="00DE61CE">
              <w:rPr>
                <w:sz w:val="20"/>
              </w:rPr>
              <w:t>0</w:t>
            </w:r>
            <w:r w:rsidR="001419AF">
              <w:rPr>
                <w:sz w:val="20"/>
              </w:rPr>
              <w:t>.00</w:t>
            </w:r>
          </w:p>
        </w:tc>
        <w:tc>
          <w:tcPr>
            <w:tcW w:w="1206" w:type="dxa"/>
          </w:tcPr>
          <w:p w:rsidR="000A2C5A" w:rsidRPr="00DE61CE" w:rsidRDefault="000A2C5A" w:rsidP="009C76C9">
            <w:pPr>
              <w:jc w:val="right"/>
              <w:rPr>
                <w:sz w:val="20"/>
              </w:rPr>
            </w:pPr>
            <w:r w:rsidRPr="00DE61CE">
              <w:rPr>
                <w:sz w:val="20"/>
              </w:rPr>
              <w:t>1</w:t>
            </w:r>
            <w:r w:rsidR="001419AF">
              <w:rPr>
                <w:sz w:val="20"/>
              </w:rPr>
              <w:t>.00</w:t>
            </w:r>
          </w:p>
        </w:tc>
      </w:tr>
      <w:tr w:rsidR="000A2C5A" w:rsidRPr="00DE61CE" w:rsidTr="009C76C9">
        <w:tc>
          <w:tcPr>
            <w:tcW w:w="1623" w:type="dxa"/>
          </w:tcPr>
          <w:p w:rsidR="000A2C5A" w:rsidRPr="00DE61CE" w:rsidRDefault="000A2C5A" w:rsidP="009C76C9">
            <w:pPr>
              <w:rPr>
                <w:sz w:val="20"/>
              </w:rPr>
            </w:pPr>
            <w:r w:rsidRPr="00DE61CE">
              <w:rPr>
                <w:sz w:val="20"/>
              </w:rPr>
              <w:t>Annual cropland</w:t>
            </w:r>
          </w:p>
        </w:tc>
        <w:tc>
          <w:tcPr>
            <w:tcW w:w="1223" w:type="dxa"/>
          </w:tcPr>
          <w:p w:rsidR="000A2C5A" w:rsidRPr="00DE61CE" w:rsidRDefault="000A2C5A" w:rsidP="009C76C9">
            <w:pPr>
              <w:jc w:val="right"/>
              <w:rPr>
                <w:sz w:val="20"/>
              </w:rPr>
            </w:pPr>
            <w:r w:rsidRPr="00DE61CE">
              <w:rPr>
                <w:sz w:val="20"/>
              </w:rPr>
              <w:t xml:space="preserve">0.00097 </w:t>
            </w:r>
          </w:p>
        </w:tc>
        <w:tc>
          <w:tcPr>
            <w:tcW w:w="1206" w:type="dxa"/>
          </w:tcPr>
          <w:p w:rsidR="000A2C5A" w:rsidRPr="00DE61CE" w:rsidRDefault="000A2C5A" w:rsidP="009C76C9">
            <w:pPr>
              <w:jc w:val="right"/>
              <w:rPr>
                <w:sz w:val="20"/>
              </w:rPr>
            </w:pPr>
            <w:r w:rsidRPr="00DE61CE">
              <w:rPr>
                <w:sz w:val="20"/>
              </w:rPr>
              <w:t>0.1</w:t>
            </w:r>
          </w:p>
        </w:tc>
        <w:tc>
          <w:tcPr>
            <w:tcW w:w="1196" w:type="dxa"/>
          </w:tcPr>
          <w:p w:rsidR="000A2C5A" w:rsidRPr="00DE61CE" w:rsidRDefault="000A2C5A" w:rsidP="009C76C9">
            <w:pPr>
              <w:jc w:val="right"/>
              <w:rPr>
                <w:sz w:val="20"/>
              </w:rPr>
            </w:pPr>
            <w:r w:rsidRPr="00DE61CE">
              <w:rPr>
                <w:sz w:val="20"/>
              </w:rPr>
              <w:t>0.006</w:t>
            </w:r>
          </w:p>
        </w:tc>
        <w:tc>
          <w:tcPr>
            <w:tcW w:w="1206" w:type="dxa"/>
          </w:tcPr>
          <w:p w:rsidR="000A2C5A" w:rsidRPr="00DE61CE" w:rsidRDefault="000A2C5A" w:rsidP="009C76C9">
            <w:pPr>
              <w:jc w:val="right"/>
              <w:rPr>
                <w:sz w:val="20"/>
              </w:rPr>
            </w:pPr>
            <w:r w:rsidRPr="00DE61CE">
              <w:rPr>
                <w:sz w:val="20"/>
              </w:rPr>
              <w:t>0.6</w:t>
            </w:r>
          </w:p>
        </w:tc>
        <w:tc>
          <w:tcPr>
            <w:tcW w:w="1196" w:type="dxa"/>
          </w:tcPr>
          <w:p w:rsidR="000A2C5A" w:rsidRPr="00DE61CE" w:rsidRDefault="000A2C5A" w:rsidP="009C76C9">
            <w:pPr>
              <w:jc w:val="right"/>
              <w:rPr>
                <w:sz w:val="20"/>
              </w:rPr>
            </w:pPr>
            <w:r w:rsidRPr="00DE61CE">
              <w:rPr>
                <w:sz w:val="20"/>
              </w:rPr>
              <w:t>1.44</w:t>
            </w:r>
          </w:p>
        </w:tc>
        <w:tc>
          <w:tcPr>
            <w:tcW w:w="1206" w:type="dxa"/>
          </w:tcPr>
          <w:p w:rsidR="000A2C5A" w:rsidRPr="00DE61CE" w:rsidRDefault="000A2C5A" w:rsidP="009C76C9">
            <w:pPr>
              <w:jc w:val="right"/>
              <w:rPr>
                <w:sz w:val="20"/>
              </w:rPr>
            </w:pPr>
            <w:r w:rsidRPr="00DE61CE">
              <w:rPr>
                <w:sz w:val="20"/>
              </w:rPr>
              <w:t>0.03</w:t>
            </w:r>
          </w:p>
        </w:tc>
      </w:tr>
      <w:tr w:rsidR="000A2C5A" w:rsidRPr="00DE61CE" w:rsidTr="009C76C9">
        <w:tc>
          <w:tcPr>
            <w:tcW w:w="1623" w:type="dxa"/>
          </w:tcPr>
          <w:p w:rsidR="000A2C5A" w:rsidRPr="00DE61CE" w:rsidRDefault="000A2C5A" w:rsidP="009C76C9">
            <w:pPr>
              <w:rPr>
                <w:sz w:val="20"/>
              </w:rPr>
            </w:pPr>
            <w:r w:rsidRPr="00DE61CE">
              <w:rPr>
                <w:sz w:val="20"/>
              </w:rPr>
              <w:t>Forage cropland</w:t>
            </w:r>
          </w:p>
        </w:tc>
        <w:tc>
          <w:tcPr>
            <w:tcW w:w="1223" w:type="dxa"/>
          </w:tcPr>
          <w:p w:rsidR="000A2C5A" w:rsidRPr="00DE61CE" w:rsidRDefault="000A2C5A" w:rsidP="009C76C9">
            <w:pPr>
              <w:jc w:val="right"/>
              <w:rPr>
                <w:sz w:val="20"/>
              </w:rPr>
            </w:pPr>
            <w:r w:rsidRPr="00DE61CE">
              <w:rPr>
                <w:sz w:val="20"/>
              </w:rPr>
              <w:t xml:space="preserve">0.00033 </w:t>
            </w:r>
          </w:p>
        </w:tc>
        <w:tc>
          <w:tcPr>
            <w:tcW w:w="1206" w:type="dxa"/>
          </w:tcPr>
          <w:p w:rsidR="000A2C5A" w:rsidRPr="00DE61CE" w:rsidRDefault="000A2C5A" w:rsidP="009C76C9">
            <w:pPr>
              <w:jc w:val="right"/>
              <w:rPr>
                <w:sz w:val="20"/>
              </w:rPr>
            </w:pPr>
            <w:r w:rsidRPr="00DE61CE">
              <w:rPr>
                <w:sz w:val="20"/>
              </w:rPr>
              <w:t>0.05</w:t>
            </w:r>
          </w:p>
        </w:tc>
        <w:tc>
          <w:tcPr>
            <w:tcW w:w="1196" w:type="dxa"/>
          </w:tcPr>
          <w:p w:rsidR="000A2C5A" w:rsidRPr="00DE61CE" w:rsidRDefault="000A2C5A" w:rsidP="009C76C9">
            <w:pPr>
              <w:jc w:val="right"/>
              <w:rPr>
                <w:sz w:val="20"/>
              </w:rPr>
            </w:pPr>
            <w:r w:rsidRPr="00DE61CE">
              <w:rPr>
                <w:sz w:val="20"/>
              </w:rPr>
              <w:t>0.004</w:t>
            </w:r>
          </w:p>
        </w:tc>
        <w:tc>
          <w:tcPr>
            <w:tcW w:w="1206" w:type="dxa"/>
          </w:tcPr>
          <w:p w:rsidR="000A2C5A" w:rsidRPr="00DE61CE" w:rsidRDefault="000A2C5A" w:rsidP="009C76C9">
            <w:pPr>
              <w:jc w:val="right"/>
              <w:rPr>
                <w:sz w:val="20"/>
              </w:rPr>
            </w:pPr>
            <w:r w:rsidRPr="00DE61CE">
              <w:rPr>
                <w:sz w:val="20"/>
              </w:rPr>
              <w:t>0.3</w:t>
            </w:r>
          </w:p>
        </w:tc>
        <w:tc>
          <w:tcPr>
            <w:tcW w:w="1196" w:type="dxa"/>
          </w:tcPr>
          <w:p w:rsidR="000A2C5A" w:rsidRPr="00DE61CE" w:rsidRDefault="000A2C5A" w:rsidP="009C76C9">
            <w:pPr>
              <w:jc w:val="right"/>
              <w:rPr>
                <w:sz w:val="20"/>
              </w:rPr>
            </w:pPr>
            <w:r w:rsidRPr="00DE61CE">
              <w:rPr>
                <w:sz w:val="20"/>
              </w:rPr>
              <w:t>0.77</w:t>
            </w:r>
          </w:p>
        </w:tc>
        <w:tc>
          <w:tcPr>
            <w:tcW w:w="1206" w:type="dxa"/>
          </w:tcPr>
          <w:p w:rsidR="000A2C5A" w:rsidRPr="00DE61CE" w:rsidRDefault="000A2C5A" w:rsidP="009C76C9">
            <w:pPr>
              <w:jc w:val="right"/>
              <w:rPr>
                <w:sz w:val="20"/>
              </w:rPr>
            </w:pPr>
            <w:r w:rsidRPr="00DE61CE">
              <w:rPr>
                <w:sz w:val="20"/>
              </w:rPr>
              <w:t>0.03</w:t>
            </w:r>
          </w:p>
        </w:tc>
      </w:tr>
      <w:tr w:rsidR="000A2C5A" w:rsidRPr="00DE61CE" w:rsidTr="009C76C9">
        <w:tc>
          <w:tcPr>
            <w:tcW w:w="1623" w:type="dxa"/>
          </w:tcPr>
          <w:p w:rsidR="000A2C5A" w:rsidRPr="00DE61CE" w:rsidRDefault="000A2C5A" w:rsidP="009C76C9">
            <w:pPr>
              <w:rPr>
                <w:sz w:val="20"/>
              </w:rPr>
            </w:pPr>
            <w:r w:rsidRPr="00DE61CE">
              <w:rPr>
                <w:sz w:val="20"/>
              </w:rPr>
              <w:t>Major road</w:t>
            </w:r>
          </w:p>
        </w:tc>
        <w:tc>
          <w:tcPr>
            <w:tcW w:w="1223" w:type="dxa"/>
          </w:tcPr>
          <w:p w:rsidR="000A2C5A" w:rsidRPr="00DE61CE" w:rsidRDefault="000A2C5A" w:rsidP="009C76C9">
            <w:pPr>
              <w:jc w:val="right"/>
              <w:rPr>
                <w:sz w:val="20"/>
              </w:rPr>
            </w:pPr>
            <w:r w:rsidRPr="00DE61CE">
              <w:rPr>
                <w:sz w:val="20"/>
              </w:rPr>
              <w:t>0.0035</w:t>
            </w:r>
          </w:p>
        </w:tc>
        <w:tc>
          <w:tcPr>
            <w:tcW w:w="1206" w:type="dxa"/>
          </w:tcPr>
          <w:p w:rsidR="000A2C5A" w:rsidRPr="00DE61CE" w:rsidRDefault="000A2C5A" w:rsidP="009C76C9">
            <w:pPr>
              <w:jc w:val="right"/>
              <w:rPr>
                <w:sz w:val="20"/>
              </w:rPr>
            </w:pPr>
            <w:r w:rsidRPr="00DE61CE">
              <w:rPr>
                <w:sz w:val="20"/>
              </w:rPr>
              <w:t>1</w:t>
            </w:r>
            <w:r w:rsidR="001419AF">
              <w:rPr>
                <w:sz w:val="20"/>
              </w:rPr>
              <w:t>.00</w:t>
            </w:r>
          </w:p>
        </w:tc>
        <w:tc>
          <w:tcPr>
            <w:tcW w:w="1196" w:type="dxa"/>
          </w:tcPr>
          <w:p w:rsidR="000A2C5A" w:rsidRPr="00DE61CE" w:rsidRDefault="000A2C5A" w:rsidP="009C76C9">
            <w:pPr>
              <w:jc w:val="right"/>
              <w:rPr>
                <w:sz w:val="20"/>
              </w:rPr>
            </w:pPr>
            <w:r w:rsidRPr="00DE61CE">
              <w:rPr>
                <w:sz w:val="20"/>
              </w:rPr>
              <w:t>0.005</w:t>
            </w:r>
          </w:p>
        </w:tc>
        <w:tc>
          <w:tcPr>
            <w:tcW w:w="1206" w:type="dxa"/>
          </w:tcPr>
          <w:p w:rsidR="000A2C5A" w:rsidRPr="00DE61CE" w:rsidRDefault="000A2C5A" w:rsidP="009C76C9">
            <w:pPr>
              <w:jc w:val="right"/>
              <w:rPr>
                <w:sz w:val="20"/>
              </w:rPr>
            </w:pPr>
            <w:r w:rsidRPr="00DE61CE">
              <w:rPr>
                <w:sz w:val="20"/>
              </w:rPr>
              <w:t>1</w:t>
            </w:r>
            <w:r w:rsidR="001419AF">
              <w:rPr>
                <w:sz w:val="20"/>
              </w:rPr>
              <w:t>.00</w:t>
            </w:r>
          </w:p>
        </w:tc>
        <w:tc>
          <w:tcPr>
            <w:tcW w:w="1196" w:type="dxa"/>
          </w:tcPr>
          <w:p w:rsidR="000A2C5A" w:rsidRPr="00DE61CE" w:rsidRDefault="000A2C5A" w:rsidP="009C76C9">
            <w:pPr>
              <w:jc w:val="right"/>
              <w:rPr>
                <w:sz w:val="20"/>
              </w:rPr>
            </w:pPr>
            <w:r w:rsidRPr="00DE61CE">
              <w:rPr>
                <w:sz w:val="20"/>
              </w:rPr>
              <w:t>2</w:t>
            </w:r>
            <w:r w:rsidR="001419AF">
              <w:rPr>
                <w:sz w:val="20"/>
              </w:rPr>
              <w:t>.00</w:t>
            </w:r>
          </w:p>
        </w:tc>
        <w:tc>
          <w:tcPr>
            <w:tcW w:w="1206" w:type="dxa"/>
          </w:tcPr>
          <w:p w:rsidR="000A2C5A" w:rsidRPr="00DE61CE" w:rsidRDefault="000A2C5A" w:rsidP="009C76C9">
            <w:pPr>
              <w:jc w:val="right"/>
              <w:rPr>
                <w:sz w:val="20"/>
              </w:rPr>
            </w:pPr>
            <w:r w:rsidRPr="00DE61CE">
              <w:rPr>
                <w:sz w:val="20"/>
              </w:rPr>
              <w:t>1</w:t>
            </w:r>
            <w:r w:rsidR="001419AF">
              <w:rPr>
                <w:sz w:val="20"/>
              </w:rPr>
              <w:t>.00</w:t>
            </w:r>
          </w:p>
        </w:tc>
      </w:tr>
      <w:tr w:rsidR="000A2C5A" w:rsidRPr="00DE61CE" w:rsidTr="009C76C9">
        <w:tc>
          <w:tcPr>
            <w:tcW w:w="1623" w:type="dxa"/>
          </w:tcPr>
          <w:p w:rsidR="000A2C5A" w:rsidRPr="00DE61CE" w:rsidRDefault="000A2C5A" w:rsidP="009C76C9">
            <w:pPr>
              <w:rPr>
                <w:sz w:val="20"/>
              </w:rPr>
            </w:pPr>
            <w:r w:rsidRPr="00DE61CE">
              <w:rPr>
                <w:sz w:val="20"/>
              </w:rPr>
              <w:t>Minor road</w:t>
            </w:r>
          </w:p>
        </w:tc>
        <w:tc>
          <w:tcPr>
            <w:tcW w:w="1223" w:type="dxa"/>
          </w:tcPr>
          <w:p w:rsidR="000A2C5A" w:rsidRPr="00DE61CE" w:rsidRDefault="000A2C5A" w:rsidP="009C76C9">
            <w:pPr>
              <w:jc w:val="right"/>
              <w:rPr>
                <w:sz w:val="20"/>
              </w:rPr>
            </w:pPr>
            <w:r w:rsidRPr="00DE61CE">
              <w:rPr>
                <w:sz w:val="20"/>
              </w:rPr>
              <w:t>0.0035</w:t>
            </w:r>
          </w:p>
        </w:tc>
        <w:tc>
          <w:tcPr>
            <w:tcW w:w="1206" w:type="dxa"/>
          </w:tcPr>
          <w:p w:rsidR="000A2C5A" w:rsidRPr="00DE61CE" w:rsidRDefault="000A2C5A" w:rsidP="009C76C9">
            <w:pPr>
              <w:jc w:val="right"/>
              <w:rPr>
                <w:sz w:val="20"/>
              </w:rPr>
            </w:pPr>
            <w:r w:rsidRPr="00DE61CE">
              <w:rPr>
                <w:sz w:val="20"/>
              </w:rPr>
              <w:t>1</w:t>
            </w:r>
            <w:r w:rsidR="001419AF">
              <w:rPr>
                <w:sz w:val="20"/>
              </w:rPr>
              <w:t>.00</w:t>
            </w:r>
          </w:p>
        </w:tc>
        <w:tc>
          <w:tcPr>
            <w:tcW w:w="1196" w:type="dxa"/>
          </w:tcPr>
          <w:p w:rsidR="000A2C5A" w:rsidRPr="00DE61CE" w:rsidRDefault="000A2C5A" w:rsidP="009C76C9">
            <w:pPr>
              <w:jc w:val="right"/>
              <w:rPr>
                <w:sz w:val="20"/>
              </w:rPr>
            </w:pPr>
            <w:r w:rsidRPr="00DE61CE">
              <w:rPr>
                <w:sz w:val="20"/>
              </w:rPr>
              <w:t>0.005</w:t>
            </w:r>
          </w:p>
        </w:tc>
        <w:tc>
          <w:tcPr>
            <w:tcW w:w="1206" w:type="dxa"/>
          </w:tcPr>
          <w:p w:rsidR="000A2C5A" w:rsidRPr="00DE61CE" w:rsidRDefault="000A2C5A" w:rsidP="009C76C9">
            <w:pPr>
              <w:jc w:val="right"/>
              <w:rPr>
                <w:sz w:val="20"/>
              </w:rPr>
            </w:pPr>
            <w:r w:rsidRPr="00DE61CE">
              <w:rPr>
                <w:sz w:val="20"/>
              </w:rPr>
              <w:t>1</w:t>
            </w:r>
            <w:r w:rsidR="001419AF">
              <w:rPr>
                <w:sz w:val="20"/>
              </w:rPr>
              <w:t>.00</w:t>
            </w:r>
          </w:p>
        </w:tc>
        <w:tc>
          <w:tcPr>
            <w:tcW w:w="1196" w:type="dxa"/>
          </w:tcPr>
          <w:p w:rsidR="000A2C5A" w:rsidRPr="00DE61CE" w:rsidRDefault="000A2C5A" w:rsidP="009C76C9">
            <w:pPr>
              <w:jc w:val="right"/>
              <w:rPr>
                <w:sz w:val="20"/>
              </w:rPr>
            </w:pPr>
            <w:r w:rsidRPr="00DE61CE">
              <w:rPr>
                <w:sz w:val="20"/>
              </w:rPr>
              <w:t>2</w:t>
            </w:r>
            <w:r w:rsidR="001419AF">
              <w:rPr>
                <w:sz w:val="20"/>
              </w:rPr>
              <w:t>.00</w:t>
            </w:r>
          </w:p>
        </w:tc>
        <w:tc>
          <w:tcPr>
            <w:tcW w:w="1206" w:type="dxa"/>
          </w:tcPr>
          <w:p w:rsidR="000A2C5A" w:rsidRPr="00DE61CE" w:rsidRDefault="000A2C5A" w:rsidP="009C76C9">
            <w:pPr>
              <w:jc w:val="right"/>
              <w:rPr>
                <w:sz w:val="20"/>
              </w:rPr>
            </w:pPr>
            <w:r w:rsidRPr="00DE61CE">
              <w:rPr>
                <w:sz w:val="20"/>
              </w:rPr>
              <w:t>1</w:t>
            </w:r>
            <w:r w:rsidR="001419AF">
              <w:rPr>
                <w:sz w:val="20"/>
              </w:rPr>
              <w:t>.00</w:t>
            </w:r>
          </w:p>
        </w:tc>
      </w:tr>
      <w:tr w:rsidR="000A2C5A" w:rsidRPr="00DE61CE" w:rsidTr="009C76C9">
        <w:tc>
          <w:tcPr>
            <w:tcW w:w="1623" w:type="dxa"/>
          </w:tcPr>
          <w:p w:rsidR="000A2C5A" w:rsidRPr="00DE61CE" w:rsidRDefault="000A2C5A" w:rsidP="009C76C9">
            <w:pPr>
              <w:rPr>
                <w:sz w:val="20"/>
              </w:rPr>
            </w:pPr>
            <w:r w:rsidRPr="00DE61CE">
              <w:rPr>
                <w:sz w:val="20"/>
              </w:rPr>
              <w:t>Inblock road</w:t>
            </w:r>
          </w:p>
        </w:tc>
        <w:tc>
          <w:tcPr>
            <w:tcW w:w="1223" w:type="dxa"/>
          </w:tcPr>
          <w:p w:rsidR="000A2C5A" w:rsidRPr="00DE61CE" w:rsidRDefault="000A2C5A" w:rsidP="009C76C9">
            <w:pPr>
              <w:jc w:val="right"/>
              <w:rPr>
                <w:sz w:val="20"/>
              </w:rPr>
            </w:pPr>
            <w:r w:rsidRPr="00DE61CE">
              <w:rPr>
                <w:sz w:val="20"/>
              </w:rPr>
              <w:t>0.0035</w:t>
            </w:r>
          </w:p>
        </w:tc>
        <w:tc>
          <w:tcPr>
            <w:tcW w:w="1206" w:type="dxa"/>
          </w:tcPr>
          <w:p w:rsidR="000A2C5A" w:rsidRPr="00DE61CE" w:rsidRDefault="000A2C5A" w:rsidP="009C76C9">
            <w:pPr>
              <w:jc w:val="right"/>
              <w:rPr>
                <w:sz w:val="20"/>
              </w:rPr>
            </w:pPr>
            <w:r w:rsidRPr="00DE61CE">
              <w:rPr>
                <w:sz w:val="20"/>
              </w:rPr>
              <w:t>1</w:t>
            </w:r>
            <w:r w:rsidR="001419AF">
              <w:rPr>
                <w:sz w:val="20"/>
              </w:rPr>
              <w:t>.00</w:t>
            </w:r>
          </w:p>
        </w:tc>
        <w:tc>
          <w:tcPr>
            <w:tcW w:w="1196" w:type="dxa"/>
          </w:tcPr>
          <w:p w:rsidR="000A2C5A" w:rsidRPr="00DE61CE" w:rsidRDefault="000A2C5A" w:rsidP="009C76C9">
            <w:pPr>
              <w:jc w:val="right"/>
              <w:rPr>
                <w:sz w:val="20"/>
              </w:rPr>
            </w:pPr>
            <w:r w:rsidRPr="00DE61CE">
              <w:rPr>
                <w:sz w:val="20"/>
              </w:rPr>
              <w:t>0.005</w:t>
            </w:r>
          </w:p>
        </w:tc>
        <w:tc>
          <w:tcPr>
            <w:tcW w:w="1206" w:type="dxa"/>
          </w:tcPr>
          <w:p w:rsidR="000A2C5A" w:rsidRPr="00DE61CE" w:rsidRDefault="000A2C5A" w:rsidP="009C76C9">
            <w:pPr>
              <w:jc w:val="right"/>
              <w:rPr>
                <w:sz w:val="20"/>
              </w:rPr>
            </w:pPr>
            <w:r w:rsidRPr="00DE61CE">
              <w:rPr>
                <w:sz w:val="20"/>
              </w:rPr>
              <w:t>1</w:t>
            </w:r>
            <w:r w:rsidR="001419AF">
              <w:rPr>
                <w:sz w:val="20"/>
              </w:rPr>
              <w:t>.00</w:t>
            </w:r>
          </w:p>
        </w:tc>
        <w:tc>
          <w:tcPr>
            <w:tcW w:w="1196" w:type="dxa"/>
          </w:tcPr>
          <w:p w:rsidR="000A2C5A" w:rsidRPr="00DE61CE" w:rsidRDefault="000A2C5A" w:rsidP="009C76C9">
            <w:pPr>
              <w:jc w:val="right"/>
              <w:rPr>
                <w:sz w:val="20"/>
              </w:rPr>
            </w:pPr>
            <w:r w:rsidRPr="00DE61CE">
              <w:rPr>
                <w:sz w:val="20"/>
              </w:rPr>
              <w:t>2</w:t>
            </w:r>
            <w:r w:rsidR="001419AF">
              <w:rPr>
                <w:sz w:val="20"/>
              </w:rPr>
              <w:t>.00</w:t>
            </w:r>
          </w:p>
        </w:tc>
        <w:tc>
          <w:tcPr>
            <w:tcW w:w="1206" w:type="dxa"/>
          </w:tcPr>
          <w:p w:rsidR="000A2C5A" w:rsidRPr="00DE61CE" w:rsidRDefault="000A2C5A" w:rsidP="009C76C9">
            <w:pPr>
              <w:jc w:val="right"/>
              <w:rPr>
                <w:sz w:val="20"/>
              </w:rPr>
            </w:pPr>
            <w:r w:rsidRPr="00DE61CE">
              <w:rPr>
                <w:sz w:val="20"/>
              </w:rPr>
              <w:t>1</w:t>
            </w:r>
            <w:r w:rsidR="001419AF">
              <w:rPr>
                <w:sz w:val="20"/>
              </w:rPr>
              <w:t>.00</w:t>
            </w:r>
          </w:p>
        </w:tc>
      </w:tr>
      <w:tr w:rsidR="000A2C5A" w:rsidRPr="00DE61CE" w:rsidTr="009C76C9">
        <w:tc>
          <w:tcPr>
            <w:tcW w:w="1623" w:type="dxa"/>
          </w:tcPr>
          <w:p w:rsidR="000A2C5A" w:rsidRPr="00DE61CE" w:rsidRDefault="000A2C5A" w:rsidP="009C76C9">
            <w:pPr>
              <w:rPr>
                <w:sz w:val="20"/>
              </w:rPr>
            </w:pPr>
            <w:r w:rsidRPr="00DE61CE">
              <w:rPr>
                <w:sz w:val="20"/>
              </w:rPr>
              <w:t>Trans</w:t>
            </w:r>
            <w:r>
              <w:rPr>
                <w:sz w:val="20"/>
              </w:rPr>
              <w:t>m. line</w:t>
            </w:r>
          </w:p>
        </w:tc>
        <w:tc>
          <w:tcPr>
            <w:tcW w:w="1223" w:type="dxa"/>
          </w:tcPr>
          <w:p w:rsidR="000A2C5A" w:rsidRPr="00DE61CE" w:rsidRDefault="000A2C5A" w:rsidP="009C76C9">
            <w:pPr>
              <w:jc w:val="right"/>
              <w:rPr>
                <w:sz w:val="20"/>
              </w:rPr>
            </w:pPr>
            <w:r w:rsidRPr="00DE61CE">
              <w:rPr>
                <w:sz w:val="20"/>
              </w:rPr>
              <w:t>0.00075</w:t>
            </w:r>
          </w:p>
        </w:tc>
        <w:tc>
          <w:tcPr>
            <w:tcW w:w="1206" w:type="dxa"/>
          </w:tcPr>
          <w:p w:rsidR="000A2C5A" w:rsidRPr="00DE61CE" w:rsidRDefault="000A2C5A" w:rsidP="009C76C9">
            <w:pPr>
              <w:jc w:val="right"/>
              <w:rPr>
                <w:sz w:val="20"/>
              </w:rPr>
            </w:pPr>
            <w:r w:rsidRPr="00DE61CE">
              <w:rPr>
                <w:sz w:val="20"/>
              </w:rPr>
              <w:t>0.2</w:t>
            </w:r>
          </w:p>
        </w:tc>
        <w:tc>
          <w:tcPr>
            <w:tcW w:w="1196" w:type="dxa"/>
          </w:tcPr>
          <w:p w:rsidR="000A2C5A" w:rsidRPr="00DE61CE" w:rsidRDefault="000A2C5A" w:rsidP="009C76C9">
            <w:pPr>
              <w:jc w:val="right"/>
              <w:rPr>
                <w:sz w:val="20"/>
              </w:rPr>
            </w:pPr>
            <w:r w:rsidRPr="00DE61CE">
              <w:rPr>
                <w:sz w:val="20"/>
              </w:rPr>
              <w:t>0.0051</w:t>
            </w:r>
          </w:p>
        </w:tc>
        <w:tc>
          <w:tcPr>
            <w:tcW w:w="1206" w:type="dxa"/>
          </w:tcPr>
          <w:p w:rsidR="000A2C5A" w:rsidRPr="00DE61CE" w:rsidRDefault="000A2C5A" w:rsidP="009C76C9">
            <w:pPr>
              <w:jc w:val="right"/>
              <w:rPr>
                <w:sz w:val="20"/>
              </w:rPr>
            </w:pPr>
            <w:r w:rsidRPr="00DE61CE">
              <w:rPr>
                <w:sz w:val="20"/>
              </w:rPr>
              <w:t>0.2</w:t>
            </w:r>
          </w:p>
        </w:tc>
        <w:tc>
          <w:tcPr>
            <w:tcW w:w="1196" w:type="dxa"/>
          </w:tcPr>
          <w:p w:rsidR="000A2C5A" w:rsidRPr="00DE61CE" w:rsidRDefault="000A2C5A" w:rsidP="009C76C9">
            <w:pPr>
              <w:jc w:val="right"/>
              <w:rPr>
                <w:sz w:val="20"/>
              </w:rPr>
            </w:pPr>
            <w:r w:rsidRPr="00DE61CE">
              <w:rPr>
                <w:sz w:val="20"/>
              </w:rPr>
              <w:t>2</w:t>
            </w:r>
            <w:r w:rsidR="001419AF">
              <w:rPr>
                <w:sz w:val="20"/>
              </w:rPr>
              <w:t>.00</w:t>
            </w:r>
          </w:p>
        </w:tc>
        <w:tc>
          <w:tcPr>
            <w:tcW w:w="1206" w:type="dxa"/>
          </w:tcPr>
          <w:p w:rsidR="000A2C5A" w:rsidRPr="00DE61CE" w:rsidRDefault="000A2C5A" w:rsidP="009C76C9">
            <w:pPr>
              <w:jc w:val="right"/>
              <w:rPr>
                <w:sz w:val="20"/>
              </w:rPr>
            </w:pPr>
            <w:r w:rsidRPr="00DE61CE">
              <w:rPr>
                <w:sz w:val="20"/>
              </w:rPr>
              <w:t>0.2</w:t>
            </w:r>
          </w:p>
        </w:tc>
      </w:tr>
      <w:tr w:rsidR="000A2C5A" w:rsidRPr="00DE61CE" w:rsidTr="009C76C9">
        <w:tc>
          <w:tcPr>
            <w:tcW w:w="1623" w:type="dxa"/>
          </w:tcPr>
          <w:p w:rsidR="000A2C5A" w:rsidRPr="00DE61CE" w:rsidRDefault="000A2C5A" w:rsidP="009C76C9">
            <w:pPr>
              <w:rPr>
                <w:sz w:val="20"/>
              </w:rPr>
            </w:pPr>
            <w:r w:rsidRPr="00DE61CE">
              <w:rPr>
                <w:sz w:val="20"/>
              </w:rPr>
              <w:t xml:space="preserve">Pipeline </w:t>
            </w:r>
          </w:p>
        </w:tc>
        <w:tc>
          <w:tcPr>
            <w:tcW w:w="1223" w:type="dxa"/>
          </w:tcPr>
          <w:p w:rsidR="000A2C5A" w:rsidRPr="00DE61CE" w:rsidRDefault="000A2C5A" w:rsidP="009C76C9">
            <w:pPr>
              <w:jc w:val="right"/>
              <w:rPr>
                <w:sz w:val="20"/>
              </w:rPr>
            </w:pPr>
            <w:r w:rsidRPr="00DE61CE">
              <w:rPr>
                <w:sz w:val="20"/>
              </w:rPr>
              <w:t>0.00075</w:t>
            </w:r>
          </w:p>
        </w:tc>
        <w:tc>
          <w:tcPr>
            <w:tcW w:w="1206" w:type="dxa"/>
          </w:tcPr>
          <w:p w:rsidR="000A2C5A" w:rsidRPr="00DE61CE" w:rsidRDefault="000A2C5A" w:rsidP="009C76C9">
            <w:pPr>
              <w:jc w:val="right"/>
              <w:rPr>
                <w:sz w:val="20"/>
              </w:rPr>
            </w:pPr>
            <w:r w:rsidRPr="00DE61CE">
              <w:rPr>
                <w:sz w:val="20"/>
              </w:rPr>
              <w:t>0.2</w:t>
            </w:r>
          </w:p>
        </w:tc>
        <w:tc>
          <w:tcPr>
            <w:tcW w:w="1196" w:type="dxa"/>
          </w:tcPr>
          <w:p w:rsidR="000A2C5A" w:rsidRPr="00DE61CE" w:rsidRDefault="000A2C5A" w:rsidP="009C76C9">
            <w:pPr>
              <w:jc w:val="right"/>
              <w:rPr>
                <w:sz w:val="20"/>
              </w:rPr>
            </w:pPr>
            <w:r w:rsidRPr="00DE61CE">
              <w:rPr>
                <w:sz w:val="20"/>
              </w:rPr>
              <w:t>0.0051</w:t>
            </w:r>
          </w:p>
        </w:tc>
        <w:tc>
          <w:tcPr>
            <w:tcW w:w="1206" w:type="dxa"/>
          </w:tcPr>
          <w:p w:rsidR="000A2C5A" w:rsidRPr="00DE61CE" w:rsidRDefault="000A2C5A" w:rsidP="009C76C9">
            <w:pPr>
              <w:jc w:val="right"/>
              <w:rPr>
                <w:sz w:val="20"/>
              </w:rPr>
            </w:pPr>
            <w:r w:rsidRPr="00DE61CE">
              <w:rPr>
                <w:sz w:val="20"/>
              </w:rPr>
              <w:t>0.2</w:t>
            </w:r>
          </w:p>
        </w:tc>
        <w:tc>
          <w:tcPr>
            <w:tcW w:w="1196" w:type="dxa"/>
          </w:tcPr>
          <w:p w:rsidR="000A2C5A" w:rsidRPr="00DE61CE" w:rsidRDefault="000A2C5A" w:rsidP="009C76C9">
            <w:pPr>
              <w:jc w:val="right"/>
              <w:rPr>
                <w:sz w:val="20"/>
              </w:rPr>
            </w:pPr>
            <w:r w:rsidRPr="00DE61CE">
              <w:rPr>
                <w:sz w:val="20"/>
              </w:rPr>
              <w:t>2</w:t>
            </w:r>
            <w:r w:rsidR="001419AF">
              <w:rPr>
                <w:sz w:val="20"/>
              </w:rPr>
              <w:t>.00</w:t>
            </w:r>
          </w:p>
        </w:tc>
        <w:tc>
          <w:tcPr>
            <w:tcW w:w="1206" w:type="dxa"/>
          </w:tcPr>
          <w:p w:rsidR="000A2C5A" w:rsidRPr="00DE61CE" w:rsidRDefault="000A2C5A" w:rsidP="009C76C9">
            <w:pPr>
              <w:jc w:val="right"/>
              <w:rPr>
                <w:sz w:val="20"/>
              </w:rPr>
            </w:pPr>
            <w:r w:rsidRPr="00DE61CE">
              <w:rPr>
                <w:sz w:val="20"/>
              </w:rPr>
              <w:t>0.2</w:t>
            </w:r>
          </w:p>
        </w:tc>
      </w:tr>
      <w:tr w:rsidR="000A2C5A" w:rsidRPr="00DE61CE" w:rsidTr="009C76C9">
        <w:tc>
          <w:tcPr>
            <w:tcW w:w="1623" w:type="dxa"/>
          </w:tcPr>
          <w:p w:rsidR="000A2C5A" w:rsidRPr="00DE61CE" w:rsidRDefault="000A2C5A" w:rsidP="009C76C9">
            <w:pPr>
              <w:rPr>
                <w:sz w:val="20"/>
              </w:rPr>
            </w:pPr>
            <w:r w:rsidRPr="00DE61CE">
              <w:rPr>
                <w:sz w:val="20"/>
              </w:rPr>
              <w:t>Seismic</w:t>
            </w:r>
          </w:p>
        </w:tc>
        <w:tc>
          <w:tcPr>
            <w:tcW w:w="1223" w:type="dxa"/>
          </w:tcPr>
          <w:p w:rsidR="000A2C5A" w:rsidRPr="00DE61CE" w:rsidRDefault="000A2C5A" w:rsidP="009C76C9">
            <w:pPr>
              <w:jc w:val="right"/>
              <w:rPr>
                <w:sz w:val="20"/>
              </w:rPr>
            </w:pPr>
            <w:r w:rsidRPr="00DE61CE">
              <w:rPr>
                <w:sz w:val="20"/>
              </w:rPr>
              <w:t>0.00075</w:t>
            </w:r>
          </w:p>
        </w:tc>
        <w:tc>
          <w:tcPr>
            <w:tcW w:w="1206" w:type="dxa"/>
          </w:tcPr>
          <w:p w:rsidR="000A2C5A" w:rsidRPr="00DE61CE" w:rsidRDefault="000A2C5A" w:rsidP="009C76C9">
            <w:pPr>
              <w:jc w:val="right"/>
              <w:rPr>
                <w:sz w:val="20"/>
              </w:rPr>
            </w:pPr>
            <w:r w:rsidRPr="00DE61CE">
              <w:rPr>
                <w:sz w:val="20"/>
              </w:rPr>
              <w:t>0.2</w:t>
            </w:r>
          </w:p>
        </w:tc>
        <w:tc>
          <w:tcPr>
            <w:tcW w:w="1196" w:type="dxa"/>
          </w:tcPr>
          <w:p w:rsidR="000A2C5A" w:rsidRPr="00DE61CE" w:rsidRDefault="000A2C5A" w:rsidP="009C76C9">
            <w:pPr>
              <w:jc w:val="right"/>
              <w:rPr>
                <w:sz w:val="20"/>
              </w:rPr>
            </w:pPr>
            <w:r w:rsidRPr="00DE61CE">
              <w:rPr>
                <w:sz w:val="20"/>
              </w:rPr>
              <w:t>0.0051</w:t>
            </w:r>
          </w:p>
        </w:tc>
        <w:tc>
          <w:tcPr>
            <w:tcW w:w="1206" w:type="dxa"/>
          </w:tcPr>
          <w:p w:rsidR="000A2C5A" w:rsidRPr="00DE61CE" w:rsidRDefault="000A2C5A" w:rsidP="009C76C9">
            <w:pPr>
              <w:jc w:val="right"/>
              <w:rPr>
                <w:sz w:val="20"/>
              </w:rPr>
            </w:pPr>
            <w:r w:rsidRPr="00DE61CE">
              <w:rPr>
                <w:sz w:val="20"/>
              </w:rPr>
              <w:t>0.2</w:t>
            </w:r>
          </w:p>
        </w:tc>
        <w:tc>
          <w:tcPr>
            <w:tcW w:w="1196" w:type="dxa"/>
          </w:tcPr>
          <w:p w:rsidR="000A2C5A" w:rsidRPr="00DE61CE" w:rsidRDefault="000A2C5A" w:rsidP="009C76C9">
            <w:pPr>
              <w:jc w:val="right"/>
              <w:rPr>
                <w:sz w:val="20"/>
              </w:rPr>
            </w:pPr>
            <w:r w:rsidRPr="00DE61CE">
              <w:rPr>
                <w:sz w:val="20"/>
              </w:rPr>
              <w:t>2</w:t>
            </w:r>
            <w:r w:rsidR="001419AF">
              <w:rPr>
                <w:sz w:val="20"/>
              </w:rPr>
              <w:t>.00</w:t>
            </w:r>
          </w:p>
        </w:tc>
        <w:tc>
          <w:tcPr>
            <w:tcW w:w="1206" w:type="dxa"/>
          </w:tcPr>
          <w:p w:rsidR="000A2C5A" w:rsidRPr="00DE61CE" w:rsidRDefault="000A2C5A" w:rsidP="009C76C9">
            <w:pPr>
              <w:jc w:val="right"/>
              <w:rPr>
                <w:sz w:val="20"/>
              </w:rPr>
            </w:pPr>
            <w:r w:rsidRPr="00DE61CE">
              <w:rPr>
                <w:sz w:val="20"/>
              </w:rPr>
              <w:t>0.2</w:t>
            </w:r>
          </w:p>
        </w:tc>
      </w:tr>
      <w:tr w:rsidR="000A2C5A" w:rsidRPr="00DE61CE" w:rsidTr="009C76C9">
        <w:tc>
          <w:tcPr>
            <w:tcW w:w="1623" w:type="dxa"/>
          </w:tcPr>
          <w:p w:rsidR="000A2C5A" w:rsidRPr="00DE61CE" w:rsidRDefault="000A2C5A" w:rsidP="009C76C9">
            <w:pPr>
              <w:rPr>
                <w:sz w:val="20"/>
              </w:rPr>
            </w:pPr>
            <w:r w:rsidRPr="00DE61CE">
              <w:rPr>
                <w:sz w:val="20"/>
              </w:rPr>
              <w:t>Wellsite</w:t>
            </w:r>
          </w:p>
        </w:tc>
        <w:tc>
          <w:tcPr>
            <w:tcW w:w="1223" w:type="dxa"/>
          </w:tcPr>
          <w:p w:rsidR="000A2C5A" w:rsidRPr="00DE61CE" w:rsidRDefault="000A2C5A" w:rsidP="009C76C9">
            <w:pPr>
              <w:jc w:val="right"/>
              <w:rPr>
                <w:sz w:val="20"/>
              </w:rPr>
            </w:pPr>
            <w:r w:rsidRPr="00DE61CE">
              <w:rPr>
                <w:sz w:val="20"/>
              </w:rPr>
              <w:t>0.00795</w:t>
            </w:r>
          </w:p>
        </w:tc>
        <w:tc>
          <w:tcPr>
            <w:tcW w:w="1206" w:type="dxa"/>
          </w:tcPr>
          <w:p w:rsidR="000A2C5A" w:rsidRPr="00DE61CE" w:rsidRDefault="000A2C5A" w:rsidP="009C76C9">
            <w:pPr>
              <w:jc w:val="right"/>
              <w:rPr>
                <w:sz w:val="20"/>
              </w:rPr>
            </w:pPr>
            <w:r w:rsidRPr="00DE61CE">
              <w:rPr>
                <w:sz w:val="20"/>
              </w:rPr>
              <w:t>0.2</w:t>
            </w:r>
          </w:p>
        </w:tc>
        <w:tc>
          <w:tcPr>
            <w:tcW w:w="1196" w:type="dxa"/>
          </w:tcPr>
          <w:p w:rsidR="000A2C5A" w:rsidRPr="00DE61CE" w:rsidRDefault="000A2C5A" w:rsidP="009C76C9">
            <w:pPr>
              <w:jc w:val="right"/>
              <w:rPr>
                <w:sz w:val="20"/>
              </w:rPr>
            </w:pPr>
            <w:r w:rsidRPr="00DE61CE">
              <w:rPr>
                <w:sz w:val="20"/>
              </w:rPr>
              <w:t>0.00225</w:t>
            </w:r>
          </w:p>
        </w:tc>
        <w:tc>
          <w:tcPr>
            <w:tcW w:w="1206" w:type="dxa"/>
          </w:tcPr>
          <w:p w:rsidR="000A2C5A" w:rsidRPr="00DE61CE" w:rsidRDefault="000A2C5A" w:rsidP="009C76C9">
            <w:pPr>
              <w:jc w:val="right"/>
              <w:rPr>
                <w:sz w:val="20"/>
              </w:rPr>
            </w:pPr>
            <w:r w:rsidRPr="00DE61CE">
              <w:rPr>
                <w:sz w:val="20"/>
              </w:rPr>
              <w:t>0.2</w:t>
            </w:r>
          </w:p>
        </w:tc>
        <w:tc>
          <w:tcPr>
            <w:tcW w:w="1196" w:type="dxa"/>
          </w:tcPr>
          <w:p w:rsidR="000A2C5A" w:rsidRPr="00DE61CE" w:rsidRDefault="000A2C5A" w:rsidP="009C76C9">
            <w:pPr>
              <w:jc w:val="right"/>
              <w:rPr>
                <w:sz w:val="20"/>
              </w:rPr>
            </w:pPr>
            <w:r w:rsidRPr="00DE61CE">
              <w:rPr>
                <w:sz w:val="20"/>
              </w:rPr>
              <w:t>0.869</w:t>
            </w:r>
          </w:p>
        </w:tc>
        <w:tc>
          <w:tcPr>
            <w:tcW w:w="1206" w:type="dxa"/>
          </w:tcPr>
          <w:p w:rsidR="000A2C5A" w:rsidRPr="00DE61CE" w:rsidRDefault="000A2C5A" w:rsidP="009C76C9">
            <w:pPr>
              <w:jc w:val="right"/>
              <w:rPr>
                <w:sz w:val="20"/>
              </w:rPr>
            </w:pPr>
            <w:r w:rsidRPr="00DE61CE">
              <w:rPr>
                <w:sz w:val="20"/>
              </w:rPr>
              <w:t>0.2</w:t>
            </w:r>
          </w:p>
        </w:tc>
      </w:tr>
      <w:tr w:rsidR="000A2C5A" w:rsidRPr="00DE61CE" w:rsidTr="009C76C9">
        <w:tc>
          <w:tcPr>
            <w:tcW w:w="1623" w:type="dxa"/>
          </w:tcPr>
          <w:p w:rsidR="000A2C5A" w:rsidRPr="00DE61CE" w:rsidRDefault="000A2C5A" w:rsidP="009C76C9">
            <w:pPr>
              <w:rPr>
                <w:sz w:val="20"/>
              </w:rPr>
            </w:pPr>
            <w:r w:rsidRPr="00DE61CE">
              <w:rPr>
                <w:sz w:val="20"/>
              </w:rPr>
              <w:t>Industrial plant</w:t>
            </w:r>
          </w:p>
        </w:tc>
        <w:tc>
          <w:tcPr>
            <w:tcW w:w="1223" w:type="dxa"/>
          </w:tcPr>
          <w:p w:rsidR="000A2C5A" w:rsidRPr="00DE61CE" w:rsidRDefault="000A2C5A" w:rsidP="009C76C9">
            <w:pPr>
              <w:jc w:val="right"/>
              <w:rPr>
                <w:sz w:val="20"/>
              </w:rPr>
            </w:pPr>
            <w:r w:rsidRPr="00DE61CE">
              <w:rPr>
                <w:sz w:val="20"/>
              </w:rPr>
              <w:t>0.00795</w:t>
            </w:r>
          </w:p>
        </w:tc>
        <w:tc>
          <w:tcPr>
            <w:tcW w:w="1206" w:type="dxa"/>
          </w:tcPr>
          <w:p w:rsidR="000A2C5A" w:rsidRPr="00DE61CE" w:rsidRDefault="000A2C5A" w:rsidP="009C76C9">
            <w:pPr>
              <w:jc w:val="right"/>
              <w:rPr>
                <w:sz w:val="20"/>
              </w:rPr>
            </w:pPr>
            <w:r w:rsidRPr="00DE61CE">
              <w:rPr>
                <w:sz w:val="20"/>
              </w:rPr>
              <w:t>0.2</w:t>
            </w:r>
          </w:p>
        </w:tc>
        <w:tc>
          <w:tcPr>
            <w:tcW w:w="1196" w:type="dxa"/>
          </w:tcPr>
          <w:p w:rsidR="000A2C5A" w:rsidRPr="00DE61CE" w:rsidRDefault="000A2C5A" w:rsidP="009C76C9">
            <w:pPr>
              <w:jc w:val="right"/>
              <w:rPr>
                <w:sz w:val="20"/>
              </w:rPr>
            </w:pPr>
            <w:r w:rsidRPr="00DE61CE">
              <w:rPr>
                <w:sz w:val="20"/>
              </w:rPr>
              <w:t>0.00225</w:t>
            </w:r>
          </w:p>
        </w:tc>
        <w:tc>
          <w:tcPr>
            <w:tcW w:w="1206" w:type="dxa"/>
          </w:tcPr>
          <w:p w:rsidR="000A2C5A" w:rsidRPr="00DE61CE" w:rsidRDefault="000A2C5A" w:rsidP="009C76C9">
            <w:pPr>
              <w:jc w:val="right"/>
              <w:rPr>
                <w:sz w:val="20"/>
              </w:rPr>
            </w:pPr>
            <w:r w:rsidRPr="00DE61CE">
              <w:rPr>
                <w:sz w:val="20"/>
              </w:rPr>
              <w:t>0.2</w:t>
            </w:r>
          </w:p>
        </w:tc>
        <w:tc>
          <w:tcPr>
            <w:tcW w:w="1196" w:type="dxa"/>
          </w:tcPr>
          <w:p w:rsidR="000A2C5A" w:rsidRPr="00DE61CE" w:rsidRDefault="000A2C5A" w:rsidP="009C76C9">
            <w:pPr>
              <w:jc w:val="right"/>
              <w:rPr>
                <w:sz w:val="20"/>
              </w:rPr>
            </w:pPr>
            <w:r w:rsidRPr="00DE61CE">
              <w:rPr>
                <w:sz w:val="20"/>
              </w:rPr>
              <w:t>0.869</w:t>
            </w:r>
          </w:p>
        </w:tc>
        <w:tc>
          <w:tcPr>
            <w:tcW w:w="1206" w:type="dxa"/>
          </w:tcPr>
          <w:p w:rsidR="000A2C5A" w:rsidRPr="00DE61CE" w:rsidRDefault="000A2C5A" w:rsidP="009C76C9">
            <w:pPr>
              <w:jc w:val="right"/>
              <w:rPr>
                <w:sz w:val="20"/>
              </w:rPr>
            </w:pPr>
            <w:r w:rsidRPr="00DE61CE">
              <w:rPr>
                <w:sz w:val="20"/>
              </w:rPr>
              <w:t>0.2</w:t>
            </w:r>
          </w:p>
        </w:tc>
      </w:tr>
      <w:tr w:rsidR="000A2C5A" w:rsidRPr="00DE61CE" w:rsidTr="009C76C9">
        <w:tc>
          <w:tcPr>
            <w:tcW w:w="1623" w:type="dxa"/>
          </w:tcPr>
          <w:p w:rsidR="000A2C5A" w:rsidRPr="00DE61CE" w:rsidRDefault="000A2C5A" w:rsidP="009C76C9">
            <w:pPr>
              <w:rPr>
                <w:sz w:val="20"/>
              </w:rPr>
            </w:pPr>
            <w:r w:rsidRPr="00DE61CE">
              <w:rPr>
                <w:sz w:val="20"/>
              </w:rPr>
              <w:t>Oilsands mine</w:t>
            </w:r>
          </w:p>
        </w:tc>
        <w:tc>
          <w:tcPr>
            <w:tcW w:w="1223" w:type="dxa"/>
          </w:tcPr>
          <w:p w:rsidR="000A2C5A" w:rsidRPr="00DE61CE" w:rsidRDefault="000A2C5A" w:rsidP="009C76C9">
            <w:pPr>
              <w:jc w:val="right"/>
              <w:rPr>
                <w:sz w:val="20"/>
              </w:rPr>
            </w:pPr>
            <w:r w:rsidRPr="00DE61CE">
              <w:rPr>
                <w:sz w:val="20"/>
              </w:rPr>
              <w:t>0.0015</w:t>
            </w:r>
          </w:p>
        </w:tc>
        <w:tc>
          <w:tcPr>
            <w:tcW w:w="1206" w:type="dxa"/>
          </w:tcPr>
          <w:p w:rsidR="000A2C5A" w:rsidRPr="00DE61CE" w:rsidRDefault="000A2C5A" w:rsidP="009C76C9">
            <w:pPr>
              <w:jc w:val="right"/>
              <w:rPr>
                <w:sz w:val="20"/>
              </w:rPr>
            </w:pPr>
            <w:r w:rsidRPr="00DE61CE">
              <w:rPr>
                <w:sz w:val="20"/>
              </w:rPr>
              <w:t>0.1</w:t>
            </w:r>
          </w:p>
        </w:tc>
        <w:tc>
          <w:tcPr>
            <w:tcW w:w="1196" w:type="dxa"/>
          </w:tcPr>
          <w:p w:rsidR="000A2C5A" w:rsidRPr="00DE61CE" w:rsidRDefault="000A2C5A" w:rsidP="009C76C9">
            <w:pPr>
              <w:jc w:val="right"/>
              <w:rPr>
                <w:sz w:val="20"/>
              </w:rPr>
            </w:pPr>
            <w:r w:rsidRPr="00DE61CE">
              <w:rPr>
                <w:sz w:val="20"/>
              </w:rPr>
              <w:t>0.0086</w:t>
            </w:r>
          </w:p>
        </w:tc>
        <w:tc>
          <w:tcPr>
            <w:tcW w:w="1206" w:type="dxa"/>
          </w:tcPr>
          <w:p w:rsidR="000A2C5A" w:rsidRPr="00DE61CE" w:rsidRDefault="000A2C5A" w:rsidP="009C76C9">
            <w:pPr>
              <w:jc w:val="right"/>
              <w:rPr>
                <w:sz w:val="20"/>
              </w:rPr>
            </w:pPr>
            <w:r w:rsidRPr="00DE61CE">
              <w:rPr>
                <w:sz w:val="20"/>
              </w:rPr>
              <w:t>0.1</w:t>
            </w:r>
          </w:p>
        </w:tc>
        <w:tc>
          <w:tcPr>
            <w:tcW w:w="1196" w:type="dxa"/>
          </w:tcPr>
          <w:p w:rsidR="000A2C5A" w:rsidRPr="00DE61CE" w:rsidRDefault="000A2C5A" w:rsidP="009C76C9">
            <w:pPr>
              <w:jc w:val="right"/>
              <w:rPr>
                <w:sz w:val="20"/>
              </w:rPr>
            </w:pPr>
            <w:r w:rsidRPr="00DE61CE">
              <w:rPr>
                <w:sz w:val="20"/>
              </w:rPr>
              <w:t>0.869</w:t>
            </w:r>
          </w:p>
        </w:tc>
        <w:tc>
          <w:tcPr>
            <w:tcW w:w="1206" w:type="dxa"/>
          </w:tcPr>
          <w:p w:rsidR="000A2C5A" w:rsidRPr="00DE61CE" w:rsidRDefault="000A2C5A" w:rsidP="009C76C9">
            <w:pPr>
              <w:jc w:val="right"/>
              <w:rPr>
                <w:sz w:val="20"/>
              </w:rPr>
            </w:pPr>
            <w:r w:rsidRPr="00DE61CE">
              <w:rPr>
                <w:sz w:val="20"/>
              </w:rPr>
              <w:t>0.1</w:t>
            </w:r>
          </w:p>
        </w:tc>
      </w:tr>
      <w:tr w:rsidR="000A2C5A" w:rsidRPr="00DE61CE" w:rsidTr="009C76C9">
        <w:tc>
          <w:tcPr>
            <w:tcW w:w="1623" w:type="dxa"/>
          </w:tcPr>
          <w:p w:rsidR="000A2C5A" w:rsidRPr="00DE61CE" w:rsidRDefault="000A2C5A" w:rsidP="009C76C9">
            <w:pPr>
              <w:rPr>
                <w:sz w:val="20"/>
              </w:rPr>
            </w:pPr>
            <w:r w:rsidRPr="00DE61CE">
              <w:rPr>
                <w:sz w:val="20"/>
              </w:rPr>
              <w:t>Gravel pits</w:t>
            </w:r>
          </w:p>
        </w:tc>
        <w:tc>
          <w:tcPr>
            <w:tcW w:w="1223" w:type="dxa"/>
          </w:tcPr>
          <w:p w:rsidR="000A2C5A" w:rsidRPr="00DE61CE" w:rsidRDefault="000A2C5A" w:rsidP="009C76C9">
            <w:pPr>
              <w:jc w:val="right"/>
              <w:rPr>
                <w:sz w:val="20"/>
              </w:rPr>
            </w:pPr>
            <w:r w:rsidRPr="00DE61CE">
              <w:rPr>
                <w:sz w:val="20"/>
              </w:rPr>
              <w:t>0.0015</w:t>
            </w:r>
          </w:p>
        </w:tc>
        <w:tc>
          <w:tcPr>
            <w:tcW w:w="1206" w:type="dxa"/>
          </w:tcPr>
          <w:p w:rsidR="000A2C5A" w:rsidRPr="00DE61CE" w:rsidRDefault="000A2C5A" w:rsidP="009C76C9">
            <w:pPr>
              <w:jc w:val="right"/>
              <w:rPr>
                <w:sz w:val="20"/>
              </w:rPr>
            </w:pPr>
            <w:r w:rsidRPr="00DE61CE">
              <w:rPr>
                <w:sz w:val="20"/>
              </w:rPr>
              <w:t>0.1</w:t>
            </w:r>
          </w:p>
        </w:tc>
        <w:tc>
          <w:tcPr>
            <w:tcW w:w="1196" w:type="dxa"/>
          </w:tcPr>
          <w:p w:rsidR="000A2C5A" w:rsidRPr="00DE61CE" w:rsidRDefault="000A2C5A" w:rsidP="009C76C9">
            <w:pPr>
              <w:jc w:val="right"/>
              <w:rPr>
                <w:sz w:val="20"/>
              </w:rPr>
            </w:pPr>
            <w:r w:rsidRPr="00DE61CE">
              <w:rPr>
                <w:sz w:val="20"/>
              </w:rPr>
              <w:t>0.0086</w:t>
            </w:r>
          </w:p>
        </w:tc>
        <w:tc>
          <w:tcPr>
            <w:tcW w:w="1206" w:type="dxa"/>
          </w:tcPr>
          <w:p w:rsidR="000A2C5A" w:rsidRPr="00DE61CE" w:rsidRDefault="000A2C5A" w:rsidP="009C76C9">
            <w:pPr>
              <w:jc w:val="right"/>
              <w:rPr>
                <w:sz w:val="20"/>
              </w:rPr>
            </w:pPr>
            <w:r w:rsidRPr="00DE61CE">
              <w:rPr>
                <w:sz w:val="20"/>
              </w:rPr>
              <w:t>0.1</w:t>
            </w:r>
          </w:p>
        </w:tc>
        <w:tc>
          <w:tcPr>
            <w:tcW w:w="1196" w:type="dxa"/>
          </w:tcPr>
          <w:p w:rsidR="000A2C5A" w:rsidRPr="00DE61CE" w:rsidRDefault="000A2C5A" w:rsidP="009C76C9">
            <w:pPr>
              <w:jc w:val="right"/>
              <w:rPr>
                <w:sz w:val="20"/>
              </w:rPr>
            </w:pPr>
            <w:r w:rsidRPr="00DE61CE">
              <w:rPr>
                <w:sz w:val="20"/>
              </w:rPr>
              <w:t>0.869</w:t>
            </w:r>
          </w:p>
        </w:tc>
        <w:tc>
          <w:tcPr>
            <w:tcW w:w="1206" w:type="dxa"/>
          </w:tcPr>
          <w:p w:rsidR="000A2C5A" w:rsidRPr="00DE61CE" w:rsidRDefault="000A2C5A" w:rsidP="009C76C9">
            <w:pPr>
              <w:jc w:val="right"/>
              <w:rPr>
                <w:sz w:val="20"/>
              </w:rPr>
            </w:pPr>
            <w:r w:rsidRPr="00DE61CE">
              <w:rPr>
                <w:sz w:val="20"/>
              </w:rPr>
              <w:t>0.1</w:t>
            </w:r>
          </w:p>
        </w:tc>
      </w:tr>
      <w:tr w:rsidR="000A2C5A" w:rsidRPr="00DE61CE" w:rsidTr="009C76C9">
        <w:tc>
          <w:tcPr>
            <w:tcW w:w="1623" w:type="dxa"/>
          </w:tcPr>
          <w:p w:rsidR="000A2C5A" w:rsidRPr="00DE61CE" w:rsidRDefault="000A2C5A" w:rsidP="009C76C9">
            <w:pPr>
              <w:rPr>
                <w:sz w:val="20"/>
              </w:rPr>
            </w:pPr>
            <w:r w:rsidRPr="00DE61CE">
              <w:rPr>
                <w:sz w:val="20"/>
              </w:rPr>
              <w:t>Settlements</w:t>
            </w:r>
          </w:p>
        </w:tc>
        <w:tc>
          <w:tcPr>
            <w:tcW w:w="1223" w:type="dxa"/>
          </w:tcPr>
          <w:p w:rsidR="000A2C5A" w:rsidRPr="00DE61CE" w:rsidRDefault="000A2C5A" w:rsidP="009C76C9">
            <w:pPr>
              <w:jc w:val="right"/>
              <w:rPr>
                <w:sz w:val="20"/>
              </w:rPr>
            </w:pPr>
            <w:r w:rsidRPr="00DE61CE">
              <w:rPr>
                <w:sz w:val="20"/>
              </w:rPr>
              <w:t>0.00022</w:t>
            </w:r>
          </w:p>
        </w:tc>
        <w:tc>
          <w:tcPr>
            <w:tcW w:w="1206" w:type="dxa"/>
          </w:tcPr>
          <w:p w:rsidR="000A2C5A" w:rsidRPr="00DE61CE" w:rsidRDefault="000A2C5A" w:rsidP="009C76C9">
            <w:pPr>
              <w:jc w:val="right"/>
              <w:rPr>
                <w:sz w:val="20"/>
              </w:rPr>
            </w:pPr>
            <w:r w:rsidRPr="00DE61CE">
              <w:rPr>
                <w:sz w:val="20"/>
              </w:rPr>
              <w:t>0.8</w:t>
            </w:r>
          </w:p>
        </w:tc>
        <w:tc>
          <w:tcPr>
            <w:tcW w:w="1196" w:type="dxa"/>
          </w:tcPr>
          <w:p w:rsidR="000A2C5A" w:rsidRPr="00DE61CE" w:rsidRDefault="000A2C5A" w:rsidP="009C76C9">
            <w:pPr>
              <w:jc w:val="right"/>
              <w:rPr>
                <w:sz w:val="20"/>
              </w:rPr>
            </w:pPr>
            <w:r w:rsidRPr="00DE61CE">
              <w:rPr>
                <w:sz w:val="20"/>
              </w:rPr>
              <w:t>0.0103</w:t>
            </w:r>
          </w:p>
        </w:tc>
        <w:tc>
          <w:tcPr>
            <w:tcW w:w="1206" w:type="dxa"/>
          </w:tcPr>
          <w:p w:rsidR="000A2C5A" w:rsidRPr="00DE61CE" w:rsidRDefault="000A2C5A" w:rsidP="009C76C9">
            <w:pPr>
              <w:jc w:val="right"/>
              <w:rPr>
                <w:sz w:val="20"/>
              </w:rPr>
            </w:pPr>
            <w:r w:rsidRPr="00DE61CE">
              <w:rPr>
                <w:sz w:val="20"/>
              </w:rPr>
              <w:t>0.8</w:t>
            </w:r>
          </w:p>
        </w:tc>
        <w:tc>
          <w:tcPr>
            <w:tcW w:w="1196" w:type="dxa"/>
          </w:tcPr>
          <w:p w:rsidR="000A2C5A" w:rsidRPr="00DE61CE" w:rsidRDefault="000A2C5A" w:rsidP="009C76C9">
            <w:pPr>
              <w:jc w:val="right"/>
              <w:rPr>
                <w:sz w:val="20"/>
              </w:rPr>
            </w:pPr>
            <w:r w:rsidRPr="00DE61CE">
              <w:rPr>
                <w:sz w:val="20"/>
              </w:rPr>
              <w:t>0.209</w:t>
            </w:r>
          </w:p>
        </w:tc>
        <w:tc>
          <w:tcPr>
            <w:tcW w:w="1206" w:type="dxa"/>
          </w:tcPr>
          <w:p w:rsidR="000A2C5A" w:rsidRPr="00DE61CE" w:rsidRDefault="000A2C5A" w:rsidP="009C76C9">
            <w:pPr>
              <w:jc w:val="right"/>
              <w:rPr>
                <w:sz w:val="20"/>
              </w:rPr>
            </w:pPr>
            <w:r w:rsidRPr="00DE61CE">
              <w:rPr>
                <w:sz w:val="20"/>
              </w:rPr>
              <w:t>0.8</w:t>
            </w:r>
          </w:p>
        </w:tc>
      </w:tr>
      <w:tr w:rsidR="000A2C5A" w:rsidRPr="00DE61CE" w:rsidTr="009C76C9">
        <w:tc>
          <w:tcPr>
            <w:tcW w:w="1623" w:type="dxa"/>
          </w:tcPr>
          <w:p w:rsidR="000A2C5A" w:rsidRPr="00DE61CE" w:rsidRDefault="000A2C5A" w:rsidP="009C76C9">
            <w:pPr>
              <w:rPr>
                <w:sz w:val="20"/>
              </w:rPr>
            </w:pPr>
            <w:r>
              <w:rPr>
                <w:sz w:val="20"/>
              </w:rPr>
              <w:t>Rural residential</w:t>
            </w:r>
          </w:p>
        </w:tc>
        <w:tc>
          <w:tcPr>
            <w:tcW w:w="1223" w:type="dxa"/>
          </w:tcPr>
          <w:p w:rsidR="000A2C5A" w:rsidRPr="00DE61CE" w:rsidRDefault="000A2C5A" w:rsidP="009C76C9">
            <w:pPr>
              <w:jc w:val="right"/>
              <w:rPr>
                <w:sz w:val="20"/>
              </w:rPr>
            </w:pPr>
            <w:r w:rsidRPr="00DE61CE">
              <w:rPr>
                <w:sz w:val="20"/>
              </w:rPr>
              <w:t>0.00019</w:t>
            </w:r>
          </w:p>
        </w:tc>
        <w:tc>
          <w:tcPr>
            <w:tcW w:w="1206" w:type="dxa"/>
          </w:tcPr>
          <w:p w:rsidR="000A2C5A" w:rsidRPr="00DE61CE" w:rsidRDefault="000A2C5A" w:rsidP="009C76C9">
            <w:pPr>
              <w:jc w:val="right"/>
              <w:rPr>
                <w:sz w:val="20"/>
              </w:rPr>
            </w:pPr>
            <w:r w:rsidRPr="00DE61CE">
              <w:rPr>
                <w:sz w:val="20"/>
              </w:rPr>
              <w:t>0.2</w:t>
            </w:r>
          </w:p>
        </w:tc>
        <w:tc>
          <w:tcPr>
            <w:tcW w:w="1196" w:type="dxa"/>
          </w:tcPr>
          <w:p w:rsidR="000A2C5A" w:rsidRPr="00DE61CE" w:rsidRDefault="000A2C5A" w:rsidP="009C76C9">
            <w:pPr>
              <w:jc w:val="right"/>
              <w:rPr>
                <w:sz w:val="20"/>
              </w:rPr>
            </w:pPr>
            <w:r w:rsidRPr="00DE61CE">
              <w:rPr>
                <w:sz w:val="20"/>
              </w:rPr>
              <w:t>0.00152</w:t>
            </w:r>
          </w:p>
        </w:tc>
        <w:tc>
          <w:tcPr>
            <w:tcW w:w="1206" w:type="dxa"/>
          </w:tcPr>
          <w:p w:rsidR="000A2C5A" w:rsidRPr="00DE61CE" w:rsidRDefault="000A2C5A" w:rsidP="009C76C9">
            <w:pPr>
              <w:jc w:val="right"/>
              <w:rPr>
                <w:sz w:val="20"/>
              </w:rPr>
            </w:pPr>
            <w:r w:rsidRPr="00DE61CE">
              <w:rPr>
                <w:sz w:val="20"/>
              </w:rPr>
              <w:t>0.2</w:t>
            </w:r>
          </w:p>
        </w:tc>
        <w:tc>
          <w:tcPr>
            <w:tcW w:w="1196" w:type="dxa"/>
          </w:tcPr>
          <w:p w:rsidR="000A2C5A" w:rsidRPr="00DE61CE" w:rsidRDefault="000A2C5A" w:rsidP="009C76C9">
            <w:pPr>
              <w:jc w:val="right"/>
              <w:rPr>
                <w:sz w:val="20"/>
              </w:rPr>
            </w:pPr>
            <w:r w:rsidRPr="00DE61CE">
              <w:rPr>
                <w:sz w:val="20"/>
              </w:rPr>
              <w:t>0.209</w:t>
            </w:r>
          </w:p>
        </w:tc>
        <w:tc>
          <w:tcPr>
            <w:tcW w:w="1206" w:type="dxa"/>
          </w:tcPr>
          <w:p w:rsidR="000A2C5A" w:rsidRPr="00DE61CE" w:rsidRDefault="000A2C5A" w:rsidP="009C76C9">
            <w:pPr>
              <w:jc w:val="right"/>
              <w:rPr>
                <w:sz w:val="20"/>
              </w:rPr>
            </w:pPr>
            <w:r w:rsidRPr="00DE61CE">
              <w:rPr>
                <w:sz w:val="20"/>
              </w:rPr>
              <w:t>0.2</w:t>
            </w:r>
          </w:p>
        </w:tc>
      </w:tr>
    </w:tbl>
    <w:p w:rsidR="000A2C5A" w:rsidRDefault="000A2C5A" w:rsidP="000A2C5A"/>
    <w:p w:rsidR="000A2C5A" w:rsidRDefault="000A2C5A" w:rsidP="000A2C5A"/>
    <w:p w:rsidR="000A2C5A" w:rsidRDefault="000A2C5A" w:rsidP="000A2C5A">
      <w:pPr>
        <w:pStyle w:val="Heading3"/>
      </w:pPr>
      <w:bookmarkStart w:id="248" w:name="_Toc338703702"/>
      <w:r>
        <w:t>Landscape Metrics</w:t>
      </w:r>
      <w:bookmarkEnd w:id="248"/>
    </w:p>
    <w:p w:rsidR="00A664B4" w:rsidRDefault="00A664B4" w:rsidP="00A664B4">
      <w:pPr>
        <w:pStyle w:val="BodyText"/>
        <w:rPr>
          <w:lang w:val="en-US"/>
        </w:rPr>
      </w:pPr>
      <w:r>
        <w:rPr>
          <w:lang w:val="en-US"/>
        </w:rPr>
        <w:t>Landscape metrics generally tracked by projects using ALCES include</w:t>
      </w:r>
      <w:r w:rsidR="00704D2F">
        <w:rPr>
          <w:lang w:val="en-US"/>
        </w:rPr>
        <w:t>:</w:t>
      </w:r>
    </w:p>
    <w:p w:rsidR="00A664B4" w:rsidRDefault="00A664B4" w:rsidP="00A664B4">
      <w:pPr>
        <w:pStyle w:val="BodyText"/>
        <w:numPr>
          <w:ilvl w:val="0"/>
          <w:numId w:val="33"/>
        </w:numPr>
        <w:spacing w:after="0"/>
        <w:ind w:left="714" w:hanging="357"/>
        <w:rPr>
          <w:lang w:val="en-US"/>
        </w:rPr>
      </w:pPr>
      <w:r>
        <w:rPr>
          <w:lang w:val="en-US"/>
        </w:rPr>
        <w:t>Natural area (ha and fraction)</w:t>
      </w:r>
    </w:p>
    <w:p w:rsidR="00A664B4" w:rsidRDefault="00A664B4" w:rsidP="00A664B4">
      <w:pPr>
        <w:pStyle w:val="BodyText"/>
        <w:numPr>
          <w:ilvl w:val="0"/>
          <w:numId w:val="33"/>
        </w:numPr>
        <w:spacing w:after="0"/>
        <w:ind w:left="714" w:hanging="357"/>
        <w:rPr>
          <w:lang w:val="en-US"/>
        </w:rPr>
      </w:pPr>
      <w:r>
        <w:rPr>
          <w:lang w:val="en-US"/>
        </w:rPr>
        <w:t>Anthropogenic area (ha and fraction)</w:t>
      </w:r>
    </w:p>
    <w:p w:rsidR="00A664B4" w:rsidRDefault="00A664B4" w:rsidP="00A664B4">
      <w:pPr>
        <w:pStyle w:val="BodyText"/>
        <w:numPr>
          <w:ilvl w:val="0"/>
          <w:numId w:val="33"/>
        </w:numPr>
        <w:spacing w:after="0"/>
        <w:ind w:left="714" w:hanging="357"/>
        <w:rPr>
          <w:lang w:val="en-US"/>
        </w:rPr>
      </w:pPr>
      <w:r>
        <w:rPr>
          <w:lang w:val="en-US"/>
        </w:rPr>
        <w:t>Anthropogenic edge</w:t>
      </w:r>
      <w:r w:rsidR="00793B35">
        <w:rPr>
          <w:lang w:val="en-US"/>
        </w:rPr>
        <w:t>; landscape fragmentation</w:t>
      </w:r>
      <w:r>
        <w:rPr>
          <w:lang w:val="en-US"/>
        </w:rPr>
        <w:t xml:space="preserve"> (km and km/km</w:t>
      </w:r>
      <w:r w:rsidRPr="00F764E9">
        <w:rPr>
          <w:vertAlign w:val="superscript"/>
          <w:lang w:val="en-US"/>
        </w:rPr>
        <w:t>2</w:t>
      </w:r>
      <w:r>
        <w:rPr>
          <w:lang w:val="en-US"/>
        </w:rPr>
        <w:t>)</w:t>
      </w:r>
    </w:p>
    <w:p w:rsidR="00A664B4" w:rsidRDefault="00AE3F84" w:rsidP="00A664B4">
      <w:pPr>
        <w:pStyle w:val="BodyText"/>
        <w:numPr>
          <w:ilvl w:val="0"/>
          <w:numId w:val="33"/>
        </w:numPr>
        <w:spacing w:after="0"/>
        <w:ind w:left="714" w:hanging="357"/>
        <w:rPr>
          <w:lang w:val="en-US"/>
        </w:rPr>
      </w:pPr>
      <w:r>
        <w:rPr>
          <w:lang w:val="en-US"/>
        </w:rPr>
        <w:t>Forest c</w:t>
      </w:r>
      <w:r w:rsidR="00A664B4">
        <w:rPr>
          <w:lang w:val="en-US"/>
        </w:rPr>
        <w:t>ore area (fraction)</w:t>
      </w:r>
    </w:p>
    <w:p w:rsidR="00A664B4" w:rsidRDefault="00AE3F84" w:rsidP="00A664B4">
      <w:pPr>
        <w:pStyle w:val="BodyText"/>
        <w:numPr>
          <w:ilvl w:val="0"/>
          <w:numId w:val="33"/>
        </w:numPr>
        <w:spacing w:after="0"/>
        <w:ind w:left="714" w:hanging="357"/>
        <w:rPr>
          <w:lang w:val="en-US"/>
        </w:rPr>
      </w:pPr>
      <w:r>
        <w:rPr>
          <w:lang w:val="en-US"/>
        </w:rPr>
        <w:t>Forest a</w:t>
      </w:r>
      <w:r w:rsidR="00A664B4">
        <w:rPr>
          <w:lang w:val="en-US"/>
        </w:rPr>
        <w:t>ge (years)</w:t>
      </w:r>
    </w:p>
    <w:p w:rsidR="00A664B4" w:rsidRDefault="00AE3F84" w:rsidP="00A664B4">
      <w:pPr>
        <w:pStyle w:val="BodyText"/>
        <w:numPr>
          <w:ilvl w:val="0"/>
          <w:numId w:val="33"/>
        </w:numPr>
        <w:spacing w:after="0"/>
        <w:ind w:left="714" w:hanging="357"/>
        <w:rPr>
          <w:lang w:val="en-US"/>
        </w:rPr>
      </w:pPr>
      <w:r>
        <w:rPr>
          <w:lang w:val="en-US"/>
        </w:rPr>
        <w:t>Old f</w:t>
      </w:r>
      <w:r w:rsidR="00A664B4">
        <w:rPr>
          <w:lang w:val="en-US"/>
        </w:rPr>
        <w:t>orest (fraction and ha)</w:t>
      </w:r>
    </w:p>
    <w:p w:rsidR="00A664B4" w:rsidRPr="00A664B4" w:rsidRDefault="00A664B4" w:rsidP="00A664B4">
      <w:pPr>
        <w:pStyle w:val="BodyText"/>
        <w:rPr>
          <w:lang w:val="en-US"/>
        </w:rPr>
      </w:pPr>
    </w:p>
    <w:p w:rsidR="009E4F21" w:rsidRDefault="009E4F21" w:rsidP="005B1655">
      <w:pPr>
        <w:pStyle w:val="Heading3"/>
      </w:pPr>
      <w:bookmarkStart w:id="249" w:name="_Toc338703703"/>
      <w:r>
        <w:t>Natural Areas</w:t>
      </w:r>
      <w:bookmarkEnd w:id="249"/>
    </w:p>
    <w:p w:rsidR="009E4F21" w:rsidRDefault="00AE3F84" w:rsidP="009E4F21">
      <w:pPr>
        <w:pStyle w:val="BodyText"/>
        <w:rPr>
          <w:lang w:eastAsia="en-CA"/>
        </w:rPr>
      </w:pPr>
      <w:r>
        <w:rPr>
          <w:lang w:eastAsia="en-CA"/>
        </w:rPr>
        <w:t xml:space="preserve">For the purposes of our analyses, natural areas are defined as physical landscapes and plant communities whose structure and function is shaped by natural disturbance regimes and ecological processes. They are naturally dynamic and not </w:t>
      </w:r>
      <w:r w:rsidR="00F84851">
        <w:rPr>
          <w:lang w:eastAsia="en-CA"/>
        </w:rPr>
        <w:t>excessively</w:t>
      </w:r>
      <w:r>
        <w:rPr>
          <w:lang w:eastAsia="en-CA"/>
        </w:rPr>
        <w:t xml:space="preserve"> under the influence of anthropogenic events or processes. The ALCES simulator has the ability to classify </w:t>
      </w:r>
      <w:r>
        <w:rPr>
          <w:lang w:eastAsia="en-CA"/>
        </w:rPr>
        <w:lastRenderedPageBreak/>
        <w:t xml:space="preserve">reclaimed </w:t>
      </w:r>
      <w:r w:rsidR="00C544DE">
        <w:rPr>
          <w:lang w:eastAsia="en-CA"/>
        </w:rPr>
        <w:t>land-use</w:t>
      </w:r>
      <w:r>
        <w:rPr>
          <w:lang w:eastAsia="en-CA"/>
        </w:rPr>
        <w:t xml:space="preserve"> footprints (for example, a reclaimed seismic line) as a natural area</w:t>
      </w:r>
      <w:r w:rsidR="00D87AE8">
        <w:rPr>
          <w:lang w:eastAsia="en-CA"/>
        </w:rPr>
        <w:t>,</w:t>
      </w:r>
      <w:r>
        <w:rPr>
          <w:lang w:eastAsia="en-CA"/>
        </w:rPr>
        <w:t xml:space="preserve"> or can classify it as a reclaimed anthropogenic feature that is now within a natural landscape type.</w:t>
      </w:r>
    </w:p>
    <w:p w:rsidR="00AE3F84" w:rsidRDefault="00AE3F84" w:rsidP="009E4F21">
      <w:pPr>
        <w:pStyle w:val="BodyText"/>
        <w:rPr>
          <w:lang w:eastAsia="en-CA"/>
        </w:rPr>
      </w:pPr>
      <w:r>
        <w:rPr>
          <w:lang w:eastAsia="en-CA"/>
        </w:rPr>
        <w:t>The distribution and abundance of many native species of plants and animals are highly correlated to the amount and structure of natural landscapes.</w:t>
      </w:r>
      <w:r w:rsidR="00021033">
        <w:rPr>
          <w:lang w:eastAsia="en-CA"/>
        </w:rPr>
        <w:t xml:space="preserve"> These species are generally adversely affected by anthropogenic features (croplands, roads, settlements, linear features, industrial complexes) and their prevalence often declines as landscapes become more industrial.</w:t>
      </w:r>
    </w:p>
    <w:p w:rsidR="00021033" w:rsidRDefault="00021033" w:rsidP="009E4F21">
      <w:pPr>
        <w:pStyle w:val="BodyText"/>
        <w:rPr>
          <w:lang w:eastAsia="en-CA"/>
        </w:rPr>
      </w:pPr>
      <w:r>
        <w:rPr>
          <w:lang w:eastAsia="en-CA"/>
        </w:rPr>
        <w:t>Because stakeholders often attribute value to natural areas for intrinsic reasons, or the wildlife species they support, this attribute is presented as an indicator for the CLFN SA.</w:t>
      </w:r>
    </w:p>
    <w:p w:rsidR="00793B35" w:rsidRDefault="00793B35" w:rsidP="00793B35">
      <w:pPr>
        <w:pStyle w:val="Heading3"/>
        <w:rPr>
          <w:lang w:eastAsia="en-CA"/>
        </w:rPr>
      </w:pPr>
      <w:bookmarkStart w:id="250" w:name="_Toc338703704"/>
      <w:r>
        <w:rPr>
          <w:lang w:eastAsia="en-CA"/>
        </w:rPr>
        <w:t>Anthropogenic Area</w:t>
      </w:r>
      <w:bookmarkEnd w:id="250"/>
    </w:p>
    <w:p w:rsidR="00021033" w:rsidRDefault="00021033" w:rsidP="00021033">
      <w:pPr>
        <w:pStyle w:val="BodyText"/>
        <w:rPr>
          <w:lang w:val="en-US" w:eastAsia="en-CA"/>
        </w:rPr>
      </w:pPr>
      <w:r>
        <w:rPr>
          <w:lang w:val="en-US" w:eastAsia="en-CA"/>
        </w:rPr>
        <w:t>Whereas some native species may lose abundance or distribution in landscape</w:t>
      </w:r>
      <w:r w:rsidR="00D87AE8">
        <w:rPr>
          <w:lang w:val="en-US" w:eastAsia="en-CA"/>
        </w:rPr>
        <w:t>s</w:t>
      </w:r>
      <w:r>
        <w:rPr>
          <w:lang w:val="en-US" w:eastAsia="en-CA"/>
        </w:rPr>
        <w:t xml:space="preserve"> defined by </w:t>
      </w:r>
      <w:r w:rsidR="00C544DE">
        <w:rPr>
          <w:lang w:val="en-US" w:eastAsia="en-CA"/>
        </w:rPr>
        <w:t>land-use</w:t>
      </w:r>
      <w:r>
        <w:rPr>
          <w:lang w:val="en-US" w:eastAsia="en-CA"/>
        </w:rPr>
        <w:t>, other species prosper. These species of plants or animals, often referred to as exotic invasives, may be considered as either desirable or undesirable.</w:t>
      </w:r>
    </w:p>
    <w:p w:rsidR="00A56112" w:rsidRPr="00021033" w:rsidRDefault="00A56112" w:rsidP="00021033">
      <w:pPr>
        <w:pStyle w:val="BodyText"/>
        <w:rPr>
          <w:lang w:val="en-US" w:eastAsia="en-CA"/>
        </w:rPr>
      </w:pPr>
      <w:r>
        <w:rPr>
          <w:lang w:val="en-US" w:eastAsia="en-CA"/>
        </w:rPr>
        <w:t>Anthropogenic area can also serve as a proxy for a host of other social or economic values of interest. For example, tracking the area of croplands, pastures, wellpads, or settlements, can reveal much (computationally) for such indicators as crop production, cattle herd size, hydrocarbon production, or human population.</w:t>
      </w:r>
    </w:p>
    <w:p w:rsidR="008B40D4" w:rsidRDefault="000A2C5A" w:rsidP="000A2C5A">
      <w:pPr>
        <w:pStyle w:val="Heading3"/>
        <w:rPr>
          <w:lang w:eastAsia="en-CA"/>
        </w:rPr>
      </w:pPr>
      <w:bookmarkStart w:id="251" w:name="_Toc338703705"/>
      <w:r>
        <w:rPr>
          <w:lang w:eastAsia="en-CA"/>
        </w:rPr>
        <w:t>Biotic Indicators</w:t>
      </w:r>
      <w:bookmarkEnd w:id="251"/>
    </w:p>
    <w:p w:rsidR="00A664B4" w:rsidRDefault="00A664B4" w:rsidP="00A664B4">
      <w:pPr>
        <w:pStyle w:val="BodyText"/>
        <w:rPr>
          <w:lang w:val="en-US" w:eastAsia="en-CA"/>
        </w:rPr>
      </w:pPr>
      <w:r>
        <w:rPr>
          <w:lang w:val="en-US" w:eastAsia="en-CA"/>
        </w:rPr>
        <w:t xml:space="preserve">It is widely understood that </w:t>
      </w:r>
      <w:r w:rsidR="00793B35">
        <w:rPr>
          <w:lang w:val="en-US" w:eastAsia="en-CA"/>
        </w:rPr>
        <w:t xml:space="preserve">many species of </w:t>
      </w:r>
      <w:r>
        <w:rPr>
          <w:lang w:val="en-US" w:eastAsia="en-CA"/>
        </w:rPr>
        <w:t xml:space="preserve">biota </w:t>
      </w:r>
      <w:r w:rsidR="00793B35">
        <w:rPr>
          <w:lang w:val="en-US" w:eastAsia="en-CA"/>
        </w:rPr>
        <w:t xml:space="preserve">(plant, animals) </w:t>
      </w:r>
      <w:r>
        <w:rPr>
          <w:lang w:val="en-US" w:eastAsia="en-CA"/>
        </w:rPr>
        <w:t>are sensitive to changes in boreal ecosystems caused by either natural disturbance regimes (Stelfox et al., 1995</w:t>
      </w:r>
      <w:r w:rsidR="003D4DCB">
        <w:rPr>
          <w:lang w:val="en-US" w:eastAsia="en-CA"/>
        </w:rPr>
        <w:t xml:space="preserve">, </w:t>
      </w:r>
      <w:r w:rsidR="00575CA7">
        <w:rPr>
          <w:lang w:val="en-US" w:eastAsia="en-CA"/>
        </w:rPr>
        <w:fldChar w:fldCharType="begin"/>
      </w:r>
      <w:r w:rsidR="003D4DCB">
        <w:rPr>
          <w:lang w:val="en-US" w:eastAsia="en-CA"/>
        </w:rPr>
        <w:instrText xml:space="preserve"> REF _Ref326251314 \h </w:instrText>
      </w:r>
      <w:r w:rsidR="00575CA7">
        <w:rPr>
          <w:lang w:val="en-US" w:eastAsia="en-CA"/>
        </w:rPr>
      </w:r>
      <w:r w:rsidR="00575CA7">
        <w:rPr>
          <w:lang w:val="en-US" w:eastAsia="en-CA"/>
        </w:rPr>
        <w:fldChar w:fldCharType="separate"/>
      </w:r>
      <w:r w:rsidR="003648B8">
        <w:t xml:space="preserve">Figure </w:t>
      </w:r>
      <w:r w:rsidR="003648B8">
        <w:rPr>
          <w:noProof/>
        </w:rPr>
        <w:t>105</w:t>
      </w:r>
      <w:r w:rsidR="00575CA7">
        <w:rPr>
          <w:lang w:val="en-US" w:eastAsia="en-CA"/>
        </w:rPr>
        <w:fldChar w:fldCharType="end"/>
      </w:r>
      <w:r>
        <w:rPr>
          <w:lang w:val="en-US" w:eastAsia="en-CA"/>
        </w:rPr>
        <w:t xml:space="preserve">) or </w:t>
      </w:r>
      <w:r w:rsidR="00C544DE">
        <w:rPr>
          <w:lang w:val="en-US" w:eastAsia="en-CA"/>
        </w:rPr>
        <w:t>land-use</w:t>
      </w:r>
      <w:r>
        <w:rPr>
          <w:lang w:val="en-US" w:eastAsia="en-CA"/>
        </w:rPr>
        <w:t xml:space="preserve">s (CEMA SEWG). Individual species also convey significant value to stakeholders because of spiritual (caribou), economic (furbearers), </w:t>
      </w:r>
      <w:r w:rsidR="00793B35">
        <w:rPr>
          <w:lang w:val="en-US" w:eastAsia="en-CA"/>
        </w:rPr>
        <w:t>recreation or subsistence</w:t>
      </w:r>
      <w:r>
        <w:rPr>
          <w:lang w:val="en-US" w:eastAsia="en-CA"/>
        </w:rPr>
        <w:t xml:space="preserve"> (edible berries, fish, moose) value. As such, tracking selected ecological indicators can provide value to stakeholder groups assessing the consequences (benefits, liabilities) of defined </w:t>
      </w:r>
      <w:r w:rsidR="00C544DE">
        <w:rPr>
          <w:lang w:val="en-US" w:eastAsia="en-CA"/>
        </w:rPr>
        <w:t>land-use</w:t>
      </w:r>
      <w:r>
        <w:rPr>
          <w:lang w:val="en-US" w:eastAsia="en-CA"/>
        </w:rPr>
        <w:t xml:space="preserve"> trajectories.</w:t>
      </w:r>
      <w:r w:rsidR="00F84851">
        <w:rPr>
          <w:lang w:val="en-US" w:eastAsia="en-CA"/>
        </w:rPr>
        <w:t xml:space="preserve"> (</w:t>
      </w:r>
      <w:r w:rsidR="00575CA7">
        <w:rPr>
          <w:lang w:val="en-US" w:eastAsia="en-CA"/>
        </w:rPr>
        <w:fldChar w:fldCharType="begin"/>
      </w:r>
      <w:r w:rsidR="00F84851">
        <w:rPr>
          <w:lang w:val="en-US" w:eastAsia="en-CA"/>
        </w:rPr>
        <w:instrText xml:space="preserve"> REF _Ref326162702 \h </w:instrText>
      </w:r>
      <w:r w:rsidR="00575CA7">
        <w:rPr>
          <w:lang w:val="en-US" w:eastAsia="en-CA"/>
        </w:rPr>
      </w:r>
      <w:r w:rsidR="00575CA7">
        <w:rPr>
          <w:lang w:val="en-US" w:eastAsia="en-CA"/>
        </w:rPr>
        <w:fldChar w:fldCharType="separate"/>
      </w:r>
      <w:r w:rsidR="003648B8">
        <w:t xml:space="preserve">Figure </w:t>
      </w:r>
      <w:r w:rsidR="003648B8">
        <w:rPr>
          <w:noProof/>
        </w:rPr>
        <w:t>106</w:t>
      </w:r>
      <w:r w:rsidR="00575CA7">
        <w:rPr>
          <w:lang w:val="en-US" w:eastAsia="en-CA"/>
        </w:rPr>
        <w:fldChar w:fldCharType="end"/>
      </w:r>
      <w:r w:rsidR="00F84851">
        <w:rPr>
          <w:lang w:val="en-US" w:eastAsia="en-CA"/>
        </w:rPr>
        <w:t xml:space="preserve">, </w:t>
      </w:r>
      <w:r w:rsidR="00575CA7">
        <w:rPr>
          <w:lang w:val="en-US" w:eastAsia="en-CA"/>
        </w:rPr>
        <w:fldChar w:fldCharType="begin"/>
      </w:r>
      <w:r w:rsidR="00F84851">
        <w:rPr>
          <w:lang w:val="en-US" w:eastAsia="en-CA"/>
        </w:rPr>
        <w:instrText xml:space="preserve"> REF _Ref326162846 \h </w:instrText>
      </w:r>
      <w:r w:rsidR="00575CA7">
        <w:rPr>
          <w:lang w:val="en-US" w:eastAsia="en-CA"/>
        </w:rPr>
      </w:r>
      <w:r w:rsidR="00575CA7">
        <w:rPr>
          <w:lang w:val="en-US" w:eastAsia="en-CA"/>
        </w:rPr>
        <w:fldChar w:fldCharType="separate"/>
      </w:r>
      <w:r w:rsidR="003648B8">
        <w:t xml:space="preserve">Figure </w:t>
      </w:r>
      <w:r w:rsidR="003648B8">
        <w:rPr>
          <w:noProof/>
        </w:rPr>
        <w:t>107</w:t>
      </w:r>
      <w:r w:rsidR="00575CA7">
        <w:rPr>
          <w:lang w:val="en-US" w:eastAsia="en-CA"/>
        </w:rPr>
        <w:fldChar w:fldCharType="end"/>
      </w:r>
      <w:r w:rsidR="00F84851">
        <w:rPr>
          <w:lang w:val="en-US" w:eastAsia="en-CA"/>
        </w:rPr>
        <w:t xml:space="preserve">, </w:t>
      </w:r>
      <w:r w:rsidR="00575CA7">
        <w:rPr>
          <w:lang w:val="en-US" w:eastAsia="en-CA"/>
        </w:rPr>
        <w:fldChar w:fldCharType="begin"/>
      </w:r>
      <w:r w:rsidR="00F84851">
        <w:rPr>
          <w:lang w:val="en-US" w:eastAsia="en-CA"/>
        </w:rPr>
        <w:instrText xml:space="preserve"> REF _Ref326162848 \h </w:instrText>
      </w:r>
      <w:r w:rsidR="00575CA7">
        <w:rPr>
          <w:lang w:val="en-US" w:eastAsia="en-CA"/>
        </w:rPr>
      </w:r>
      <w:r w:rsidR="00575CA7">
        <w:rPr>
          <w:lang w:val="en-US" w:eastAsia="en-CA"/>
        </w:rPr>
        <w:fldChar w:fldCharType="separate"/>
      </w:r>
      <w:r w:rsidR="003648B8">
        <w:t xml:space="preserve">Figure </w:t>
      </w:r>
      <w:r w:rsidR="003648B8">
        <w:rPr>
          <w:noProof/>
        </w:rPr>
        <w:t>108</w:t>
      </w:r>
      <w:r w:rsidR="00575CA7">
        <w:rPr>
          <w:lang w:val="en-US" w:eastAsia="en-CA"/>
        </w:rPr>
        <w:fldChar w:fldCharType="end"/>
      </w:r>
      <w:r w:rsidR="00F84851">
        <w:rPr>
          <w:lang w:val="en-US" w:eastAsia="en-CA"/>
        </w:rPr>
        <w:t>).</w:t>
      </w:r>
    </w:p>
    <w:p w:rsidR="00F902BF" w:rsidRDefault="00F902BF" w:rsidP="00A664B4">
      <w:pPr>
        <w:pStyle w:val="BodyText"/>
        <w:rPr>
          <w:lang w:val="en-US" w:eastAsia="en-CA"/>
        </w:rPr>
      </w:pPr>
      <w:r>
        <w:rPr>
          <w:lang w:val="en-US" w:eastAsia="en-CA"/>
        </w:rPr>
        <w:t xml:space="preserve">A rigorous assessment of the response of biota to a dynamic landscape requires simulation models to track all natural disturbance regimes and </w:t>
      </w:r>
      <w:r w:rsidR="00C544DE">
        <w:rPr>
          <w:lang w:val="en-US" w:eastAsia="en-CA"/>
        </w:rPr>
        <w:t>land-use</w:t>
      </w:r>
      <w:r>
        <w:rPr>
          <w:lang w:val="en-US" w:eastAsia="en-CA"/>
        </w:rPr>
        <w:t>s, and temporal and spatial changes in specific structural elements found within each landscape type. By simulating natural disturbance regimes with their appropriate spatial and temporal variance, it becomes possible to quantify the range of natural variability of each species (</w:t>
      </w:r>
      <w:r w:rsidR="00575CA7">
        <w:rPr>
          <w:lang w:val="en-US" w:eastAsia="en-CA"/>
        </w:rPr>
        <w:fldChar w:fldCharType="begin"/>
      </w:r>
      <w:r>
        <w:rPr>
          <w:lang w:val="en-US" w:eastAsia="en-CA"/>
        </w:rPr>
        <w:instrText xml:space="preserve"> REF _Ref326162852 \h </w:instrText>
      </w:r>
      <w:r w:rsidR="00575CA7">
        <w:rPr>
          <w:lang w:val="en-US" w:eastAsia="en-CA"/>
        </w:rPr>
      </w:r>
      <w:r w:rsidR="00575CA7">
        <w:rPr>
          <w:lang w:val="en-US" w:eastAsia="en-CA"/>
        </w:rPr>
        <w:fldChar w:fldCharType="separate"/>
      </w:r>
      <w:r w:rsidR="003648B8">
        <w:t xml:space="preserve">Figure </w:t>
      </w:r>
      <w:r w:rsidR="003648B8">
        <w:rPr>
          <w:noProof/>
        </w:rPr>
        <w:t>109</w:t>
      </w:r>
      <w:r w:rsidR="00575CA7">
        <w:rPr>
          <w:lang w:val="en-US" w:eastAsia="en-CA"/>
        </w:rPr>
        <w:fldChar w:fldCharType="end"/>
      </w:r>
      <w:r>
        <w:rPr>
          <w:lang w:val="en-US" w:eastAsia="en-CA"/>
        </w:rPr>
        <w:t>)</w:t>
      </w:r>
      <w:r w:rsidR="00D87AE8">
        <w:rPr>
          <w:lang w:val="en-US" w:eastAsia="en-CA"/>
        </w:rPr>
        <w:t xml:space="preserve">, </w:t>
      </w:r>
      <w:r>
        <w:rPr>
          <w:lang w:val="en-US" w:eastAsia="en-CA"/>
        </w:rPr>
        <w:t xml:space="preserve"> and how performance of indicators changes when landscapes are subjected to </w:t>
      </w:r>
      <w:r w:rsidR="00C544DE">
        <w:rPr>
          <w:lang w:val="en-US" w:eastAsia="en-CA"/>
        </w:rPr>
        <w:t>land-use</w:t>
      </w:r>
      <w:r>
        <w:rPr>
          <w:lang w:val="en-US" w:eastAsia="en-CA"/>
        </w:rPr>
        <w:t>s or altered natural disturbance regimes (</w:t>
      </w:r>
      <w:r w:rsidR="00575CA7">
        <w:rPr>
          <w:lang w:val="en-US" w:eastAsia="en-CA"/>
        </w:rPr>
        <w:fldChar w:fldCharType="begin"/>
      </w:r>
      <w:r>
        <w:rPr>
          <w:lang w:val="en-US" w:eastAsia="en-CA"/>
        </w:rPr>
        <w:instrText xml:space="preserve"> REF _Ref326162854 \h </w:instrText>
      </w:r>
      <w:r w:rsidR="00575CA7">
        <w:rPr>
          <w:lang w:val="en-US" w:eastAsia="en-CA"/>
        </w:rPr>
      </w:r>
      <w:r w:rsidR="00575CA7">
        <w:rPr>
          <w:lang w:val="en-US" w:eastAsia="en-CA"/>
        </w:rPr>
        <w:fldChar w:fldCharType="separate"/>
      </w:r>
      <w:r w:rsidR="003648B8">
        <w:t xml:space="preserve">Figure </w:t>
      </w:r>
      <w:r w:rsidR="003648B8">
        <w:rPr>
          <w:noProof/>
        </w:rPr>
        <w:t>110</w:t>
      </w:r>
      <w:r w:rsidR="00575CA7">
        <w:rPr>
          <w:lang w:val="en-US" w:eastAsia="en-CA"/>
        </w:rPr>
        <w:fldChar w:fldCharType="end"/>
      </w:r>
      <w:r>
        <w:rPr>
          <w:lang w:val="en-US" w:eastAsia="en-CA"/>
        </w:rPr>
        <w:t xml:space="preserve">, </w:t>
      </w:r>
      <w:r w:rsidR="00575CA7">
        <w:rPr>
          <w:lang w:val="en-US" w:eastAsia="en-CA"/>
        </w:rPr>
        <w:fldChar w:fldCharType="begin"/>
      </w:r>
      <w:r>
        <w:rPr>
          <w:lang w:val="en-US" w:eastAsia="en-CA"/>
        </w:rPr>
        <w:instrText xml:space="preserve"> REF _Ref326252511 \h </w:instrText>
      </w:r>
      <w:r w:rsidR="00575CA7">
        <w:rPr>
          <w:lang w:val="en-US" w:eastAsia="en-CA"/>
        </w:rPr>
      </w:r>
      <w:r w:rsidR="00575CA7">
        <w:rPr>
          <w:lang w:val="en-US" w:eastAsia="en-CA"/>
        </w:rPr>
        <w:fldChar w:fldCharType="separate"/>
      </w:r>
      <w:r w:rsidR="003648B8">
        <w:t xml:space="preserve">Figure </w:t>
      </w:r>
      <w:r w:rsidR="003648B8">
        <w:rPr>
          <w:noProof/>
        </w:rPr>
        <w:t>111</w:t>
      </w:r>
      <w:r w:rsidR="00575CA7">
        <w:rPr>
          <w:lang w:val="en-US" w:eastAsia="en-CA"/>
        </w:rPr>
        <w:fldChar w:fldCharType="end"/>
      </w:r>
      <w:r>
        <w:rPr>
          <w:lang w:val="en-US" w:eastAsia="en-CA"/>
        </w:rPr>
        <w:t>).</w:t>
      </w:r>
    </w:p>
    <w:p w:rsidR="00F902BF" w:rsidRPr="00A664B4" w:rsidRDefault="00F902BF" w:rsidP="00A664B4">
      <w:pPr>
        <w:pStyle w:val="BodyText"/>
        <w:rPr>
          <w:lang w:val="en-US" w:eastAsia="en-CA"/>
        </w:rPr>
      </w:pPr>
    </w:p>
    <w:p w:rsidR="00A664B4" w:rsidRPr="00A664B4" w:rsidRDefault="00A664B4" w:rsidP="00A664B4">
      <w:pPr>
        <w:pStyle w:val="BodyText"/>
        <w:rPr>
          <w:lang w:val="en-US" w:eastAsia="en-CA"/>
        </w:rPr>
      </w:pPr>
    </w:p>
    <w:p w:rsidR="008B40D4" w:rsidRDefault="008B40D4" w:rsidP="009E4F21">
      <w:pPr>
        <w:pStyle w:val="BodyText"/>
        <w:rPr>
          <w:lang w:eastAsia="en-CA"/>
        </w:rPr>
      </w:pPr>
    </w:p>
    <w:p w:rsidR="005845C4" w:rsidRDefault="005845C4" w:rsidP="009E4F21">
      <w:pPr>
        <w:pStyle w:val="BodyText"/>
        <w:rPr>
          <w:lang w:eastAsia="en-CA"/>
        </w:rPr>
      </w:pPr>
    </w:p>
    <w:p w:rsidR="005845C4" w:rsidRDefault="005845C4" w:rsidP="009E4F21">
      <w:pPr>
        <w:pStyle w:val="BodyText"/>
        <w:rPr>
          <w:lang w:eastAsia="en-CA"/>
        </w:rPr>
      </w:pPr>
    </w:p>
    <w:p w:rsidR="008B40D4" w:rsidRDefault="008B40D4" w:rsidP="008B40D4">
      <w:pPr>
        <w:pStyle w:val="BodyText"/>
        <w:keepNext/>
      </w:pPr>
      <w:r>
        <w:rPr>
          <w:noProof/>
          <w:lang w:val="en-US"/>
        </w:rPr>
        <w:drawing>
          <wp:inline distT="0" distB="0" distL="0" distR="0">
            <wp:extent cx="4775679" cy="3600000"/>
            <wp:effectExtent l="19050" t="19050" r="24921" b="1950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16" cstate="print"/>
                    <a:srcRect/>
                    <a:stretch>
                      <a:fillRect/>
                    </a:stretch>
                  </pic:blipFill>
                  <pic:spPr bwMode="auto">
                    <a:xfrm>
                      <a:off x="0" y="0"/>
                      <a:ext cx="4775679"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9E4F21" w:rsidRDefault="008B40D4" w:rsidP="008B40D4">
      <w:pPr>
        <w:pStyle w:val="Caption"/>
      </w:pPr>
      <w:bookmarkStart w:id="252" w:name="_Ref326251314"/>
      <w:bookmarkStart w:id="253" w:name="_Toc338703884"/>
      <w:proofErr w:type="gramStart"/>
      <w:r>
        <w:t xml:space="preserve">Figure </w:t>
      </w:r>
      <w:fldSimple w:instr=" SEQ Figure \* ARABIC ">
        <w:r w:rsidR="00A02D22">
          <w:rPr>
            <w:noProof/>
          </w:rPr>
          <w:t>105</w:t>
        </w:r>
      </w:fldSimple>
      <w:bookmarkEnd w:id="252"/>
      <w:r>
        <w:t>.</w:t>
      </w:r>
      <w:proofErr w:type="gramEnd"/>
      <w:r>
        <w:t xml:space="preserve"> Linear </w:t>
      </w:r>
      <w:r w:rsidR="00596CC2">
        <w:t xml:space="preserve">and polygonal </w:t>
      </w:r>
      <w:r w:rsidR="00C544DE">
        <w:t>land-use</w:t>
      </w:r>
      <w:r>
        <w:t xml:space="preserve"> footprints fragment landscape and reduce the amount of undisturbed core area.</w:t>
      </w:r>
      <w:bookmarkEnd w:id="253"/>
    </w:p>
    <w:p w:rsidR="005B1655" w:rsidRDefault="005B1655" w:rsidP="005B1655">
      <w:pPr>
        <w:pStyle w:val="BodyText"/>
        <w:keepNext/>
        <w:spacing w:after="0"/>
      </w:pPr>
      <w:r>
        <w:rPr>
          <w:noProof/>
          <w:lang w:val="en-US"/>
        </w:rPr>
        <w:drawing>
          <wp:inline distT="0" distB="0" distL="0" distR="0">
            <wp:extent cx="4745080" cy="3600000"/>
            <wp:effectExtent l="19050" t="19050" r="17420" b="19500"/>
            <wp:docPr id="7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17" cstate="print"/>
                    <a:srcRect/>
                    <a:stretch>
                      <a:fillRect/>
                    </a:stretch>
                  </pic:blipFill>
                  <pic:spPr bwMode="auto">
                    <a:xfrm>
                      <a:off x="0" y="0"/>
                      <a:ext cx="4745080"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5B1655" w:rsidRDefault="005B1655" w:rsidP="005B1655">
      <w:pPr>
        <w:pStyle w:val="Caption"/>
      </w:pPr>
      <w:bookmarkStart w:id="254" w:name="_Ref326162702"/>
      <w:bookmarkStart w:id="255" w:name="_Toc338703885"/>
      <w:proofErr w:type="gramStart"/>
      <w:r>
        <w:t xml:space="preserve">Figure </w:t>
      </w:r>
      <w:fldSimple w:instr=" SEQ Figure \* ARABIC ">
        <w:r w:rsidR="00A02D22">
          <w:rPr>
            <w:noProof/>
          </w:rPr>
          <w:t>106</w:t>
        </w:r>
      </w:fldSimple>
      <w:bookmarkEnd w:id="254"/>
      <w:r>
        <w:t>.</w:t>
      </w:r>
      <w:proofErr w:type="gramEnd"/>
      <w:r>
        <w:t xml:space="preserve"> The major ecological indicators simulated in the CLFN ALCES Simulator.</w:t>
      </w:r>
      <w:bookmarkEnd w:id="255"/>
    </w:p>
    <w:p w:rsidR="005B1655" w:rsidRPr="00D3697A" w:rsidRDefault="005B1655" w:rsidP="005B1655">
      <w:pPr>
        <w:rPr>
          <w:lang w:eastAsia="en-CA"/>
        </w:rPr>
      </w:pPr>
    </w:p>
    <w:p w:rsidR="005B1655" w:rsidRDefault="005B1655" w:rsidP="005B1655">
      <w:pPr>
        <w:pStyle w:val="BodyText"/>
        <w:keepNext/>
        <w:spacing w:after="0"/>
      </w:pPr>
      <w:r>
        <w:rPr>
          <w:noProof/>
          <w:lang w:val="en-US"/>
        </w:rPr>
        <w:drawing>
          <wp:inline distT="0" distB="0" distL="0" distR="0">
            <wp:extent cx="4766897" cy="3600000"/>
            <wp:effectExtent l="19050" t="19050" r="14653" b="19500"/>
            <wp:docPr id="744"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8" cstate="print"/>
                    <a:srcRect/>
                    <a:stretch>
                      <a:fillRect/>
                    </a:stretch>
                  </pic:blipFill>
                  <pic:spPr bwMode="auto">
                    <a:xfrm>
                      <a:off x="0" y="0"/>
                      <a:ext cx="4766897"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5B1655" w:rsidRDefault="005B1655" w:rsidP="005B1655">
      <w:pPr>
        <w:pStyle w:val="Caption"/>
        <w:rPr>
          <w:lang w:val="en-US"/>
        </w:rPr>
      </w:pPr>
      <w:bookmarkStart w:id="256" w:name="_Ref326162846"/>
      <w:bookmarkStart w:id="257" w:name="_Toc338703886"/>
      <w:proofErr w:type="gramStart"/>
      <w:r>
        <w:t xml:space="preserve">Figure </w:t>
      </w:r>
      <w:fldSimple w:instr=" SEQ Figure \* ARABIC ">
        <w:r w:rsidR="00A02D22">
          <w:rPr>
            <w:noProof/>
          </w:rPr>
          <w:t>107</w:t>
        </w:r>
      </w:fldSimple>
      <w:bookmarkEnd w:id="256"/>
      <w:r>
        <w:t>.</w:t>
      </w:r>
      <w:proofErr w:type="gramEnd"/>
      <w:r>
        <w:t xml:space="preserve"> Ecological indictors are affected by a suite of natural disturbance regimes, human </w:t>
      </w:r>
      <w:r w:rsidR="00C544DE">
        <w:t>land-use</w:t>
      </w:r>
      <w:r>
        <w:t>s, and the direct activities of humans.</w:t>
      </w:r>
      <w:bookmarkEnd w:id="257"/>
    </w:p>
    <w:p w:rsidR="005B1655" w:rsidRDefault="005B1655" w:rsidP="005B1655">
      <w:pPr>
        <w:pStyle w:val="BodyText"/>
        <w:rPr>
          <w:lang w:val="en-US"/>
        </w:rPr>
      </w:pPr>
    </w:p>
    <w:p w:rsidR="005B1655" w:rsidRDefault="005B1655" w:rsidP="005B1655">
      <w:pPr>
        <w:pStyle w:val="BodyText"/>
        <w:keepNext/>
        <w:spacing w:after="0"/>
      </w:pPr>
      <w:r>
        <w:rPr>
          <w:noProof/>
          <w:lang w:val="en-US"/>
        </w:rPr>
        <w:drawing>
          <wp:inline distT="0" distB="0" distL="0" distR="0">
            <wp:extent cx="4766897" cy="3600000"/>
            <wp:effectExtent l="19050" t="19050" r="14653" b="19500"/>
            <wp:docPr id="745"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9" cstate="print"/>
                    <a:srcRect/>
                    <a:stretch>
                      <a:fillRect/>
                    </a:stretch>
                  </pic:blipFill>
                  <pic:spPr bwMode="auto">
                    <a:xfrm>
                      <a:off x="0" y="0"/>
                      <a:ext cx="4766897"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5B1655" w:rsidRDefault="005B1655" w:rsidP="005B1655">
      <w:pPr>
        <w:pStyle w:val="Caption"/>
      </w:pPr>
      <w:bookmarkStart w:id="258" w:name="_Ref326162848"/>
      <w:bookmarkStart w:id="259" w:name="_Toc338703887"/>
      <w:proofErr w:type="gramStart"/>
      <w:r>
        <w:t xml:space="preserve">Figure </w:t>
      </w:r>
      <w:fldSimple w:instr=" SEQ Figure \* ARABIC ">
        <w:r w:rsidR="00A02D22">
          <w:rPr>
            <w:noProof/>
          </w:rPr>
          <w:t>108</w:t>
        </w:r>
      </w:fldSimple>
      <w:bookmarkEnd w:id="258"/>
      <w:r>
        <w:t>.</w:t>
      </w:r>
      <w:proofErr w:type="gramEnd"/>
      <w:r>
        <w:t xml:space="preserve"> </w:t>
      </w:r>
      <w:proofErr w:type="gramStart"/>
      <w:r>
        <w:t>Key landscape metrics affecting performance of ecological indicators.</w:t>
      </w:r>
      <w:bookmarkEnd w:id="259"/>
      <w:proofErr w:type="gramEnd"/>
    </w:p>
    <w:p w:rsidR="005B1655" w:rsidRPr="00D3697A" w:rsidRDefault="005B1655" w:rsidP="005B1655">
      <w:pPr>
        <w:rPr>
          <w:lang w:eastAsia="en-CA"/>
        </w:rPr>
      </w:pPr>
    </w:p>
    <w:p w:rsidR="005B1655" w:rsidRDefault="005B1655" w:rsidP="005B1655">
      <w:pPr>
        <w:pStyle w:val="BodyText"/>
        <w:keepNext/>
        <w:spacing w:after="0"/>
      </w:pPr>
      <w:r>
        <w:rPr>
          <w:noProof/>
          <w:lang w:val="en-US"/>
        </w:rPr>
        <w:drawing>
          <wp:inline distT="0" distB="0" distL="0" distR="0">
            <wp:extent cx="4777880" cy="3600000"/>
            <wp:effectExtent l="19050" t="19050" r="22720" b="19500"/>
            <wp:docPr id="746"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20" cstate="print"/>
                    <a:srcRect/>
                    <a:stretch>
                      <a:fillRect/>
                    </a:stretch>
                  </pic:blipFill>
                  <pic:spPr bwMode="auto">
                    <a:xfrm>
                      <a:off x="0" y="0"/>
                      <a:ext cx="4777880"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5B1655" w:rsidRDefault="005B1655" w:rsidP="005B1655">
      <w:pPr>
        <w:pStyle w:val="Caption"/>
        <w:rPr>
          <w:lang w:val="en-US"/>
        </w:rPr>
      </w:pPr>
      <w:bookmarkStart w:id="260" w:name="_Ref326162852"/>
      <w:bookmarkStart w:id="261" w:name="_Toc338703888"/>
      <w:proofErr w:type="gramStart"/>
      <w:r>
        <w:t xml:space="preserve">Figure </w:t>
      </w:r>
      <w:fldSimple w:instr=" SEQ Figure \* ARABIC ">
        <w:r w:rsidR="00A02D22">
          <w:rPr>
            <w:noProof/>
          </w:rPr>
          <w:t>109</w:t>
        </w:r>
      </w:fldSimple>
      <w:bookmarkEnd w:id="260"/>
      <w:r>
        <w:t>.</w:t>
      </w:r>
      <w:proofErr w:type="gramEnd"/>
      <w:r>
        <w:t xml:space="preserve"> Natural disturbance regimes affect landscape metrics, which in turn, create a range of natural variation (RNV) in the performance of ecological indicators.</w:t>
      </w:r>
      <w:bookmarkEnd w:id="261"/>
    </w:p>
    <w:p w:rsidR="005B1655" w:rsidRDefault="005B1655" w:rsidP="005B1655">
      <w:pPr>
        <w:pStyle w:val="BodyText"/>
        <w:rPr>
          <w:lang w:val="en-US"/>
        </w:rPr>
      </w:pPr>
    </w:p>
    <w:p w:rsidR="005B1655" w:rsidRDefault="005B1655" w:rsidP="005B1655">
      <w:pPr>
        <w:pStyle w:val="BodyText"/>
        <w:keepNext/>
        <w:spacing w:after="0"/>
      </w:pPr>
      <w:r>
        <w:rPr>
          <w:noProof/>
          <w:lang w:val="en-US"/>
        </w:rPr>
        <w:lastRenderedPageBreak/>
        <w:drawing>
          <wp:inline distT="0" distB="0" distL="0" distR="0">
            <wp:extent cx="4777880" cy="3600000"/>
            <wp:effectExtent l="19050" t="19050" r="22720" b="19500"/>
            <wp:docPr id="750"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21" cstate="print"/>
                    <a:srcRect/>
                    <a:stretch>
                      <a:fillRect/>
                    </a:stretch>
                  </pic:blipFill>
                  <pic:spPr bwMode="auto">
                    <a:xfrm>
                      <a:off x="0" y="0"/>
                      <a:ext cx="4777880"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5B1655" w:rsidRDefault="005B1655" w:rsidP="005B1655">
      <w:pPr>
        <w:pStyle w:val="Caption"/>
        <w:rPr>
          <w:lang w:val="en-US"/>
        </w:rPr>
      </w:pPr>
      <w:bookmarkStart w:id="262" w:name="_Ref326162854"/>
      <w:bookmarkStart w:id="263" w:name="_Toc338703889"/>
      <w:proofErr w:type="gramStart"/>
      <w:r>
        <w:t xml:space="preserve">Figure </w:t>
      </w:r>
      <w:fldSimple w:instr=" SEQ Figure \* ARABIC ">
        <w:r w:rsidR="00A02D22">
          <w:rPr>
            <w:noProof/>
          </w:rPr>
          <w:t>110</w:t>
        </w:r>
      </w:fldSimple>
      <w:bookmarkEnd w:id="262"/>
      <w:r>
        <w:t>.</w:t>
      </w:r>
      <w:proofErr w:type="gramEnd"/>
      <w:r>
        <w:t xml:space="preserve"> In contemporary settings, landscape metrics are affected by both natural disturbance regimes and human </w:t>
      </w:r>
      <w:r w:rsidR="00C544DE">
        <w:t>land-use</w:t>
      </w:r>
      <w:r>
        <w:t>s.</w:t>
      </w:r>
      <w:bookmarkEnd w:id="263"/>
    </w:p>
    <w:p w:rsidR="005B1655" w:rsidRDefault="005B1655" w:rsidP="005B1655">
      <w:pPr>
        <w:pStyle w:val="BodyText"/>
        <w:keepNext/>
        <w:spacing w:after="0"/>
      </w:pPr>
      <w:r>
        <w:rPr>
          <w:noProof/>
          <w:lang w:val="en-US"/>
        </w:rPr>
        <w:drawing>
          <wp:inline distT="0" distB="0" distL="0" distR="0">
            <wp:extent cx="4777880" cy="3600000"/>
            <wp:effectExtent l="19050" t="19050" r="22720" b="19500"/>
            <wp:docPr id="751"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22" cstate="print"/>
                    <a:srcRect/>
                    <a:stretch>
                      <a:fillRect/>
                    </a:stretch>
                  </pic:blipFill>
                  <pic:spPr bwMode="auto">
                    <a:xfrm>
                      <a:off x="0" y="0"/>
                      <a:ext cx="4777880"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5B1655" w:rsidRDefault="005B1655" w:rsidP="005B1655">
      <w:pPr>
        <w:pStyle w:val="Caption"/>
      </w:pPr>
      <w:bookmarkStart w:id="264" w:name="_Ref326252511"/>
      <w:bookmarkStart w:id="265" w:name="_Toc338703890"/>
      <w:proofErr w:type="gramStart"/>
      <w:r>
        <w:t xml:space="preserve">Figure </w:t>
      </w:r>
      <w:fldSimple w:instr=" SEQ Figure \* ARABIC ">
        <w:r w:rsidR="00A02D22">
          <w:rPr>
            <w:noProof/>
          </w:rPr>
          <w:t>111</w:t>
        </w:r>
      </w:fldSimple>
      <w:bookmarkEnd w:id="264"/>
      <w:r>
        <w:t>.</w:t>
      </w:r>
      <w:proofErr w:type="gramEnd"/>
      <w:r>
        <w:t xml:space="preserve"> By simulating both natural disturbance regimes and human </w:t>
      </w:r>
      <w:r w:rsidR="00C544DE">
        <w:t>land-use</w:t>
      </w:r>
      <w:r>
        <w:t xml:space="preserve">s, it is possible for ALCES to simulate the RNV and determine whether past or future </w:t>
      </w:r>
      <w:r w:rsidR="00C544DE">
        <w:t>land-use</w:t>
      </w:r>
      <w:r>
        <w:t xml:space="preserve"> trajectories will alter the performance of ecological indicators relative to RNV.</w:t>
      </w:r>
      <w:bookmarkEnd w:id="265"/>
    </w:p>
    <w:p w:rsidR="005B1655" w:rsidRPr="005B1655" w:rsidRDefault="005B1655" w:rsidP="005B1655">
      <w:pPr>
        <w:rPr>
          <w:lang w:eastAsia="en-CA"/>
        </w:rPr>
      </w:pPr>
    </w:p>
    <w:p w:rsidR="00BA01E7" w:rsidRDefault="00BA01E7" w:rsidP="00BA01E7">
      <w:pPr>
        <w:pStyle w:val="Heading3"/>
        <w:keepLines/>
        <w:tabs>
          <w:tab w:val="clear" w:pos="720"/>
        </w:tabs>
        <w:spacing w:before="200" w:after="0" w:line="276" w:lineRule="auto"/>
      </w:pPr>
      <w:bookmarkStart w:id="266" w:name="_Toc296586230"/>
      <w:bookmarkStart w:id="267" w:name="_Toc338703706"/>
      <w:bookmarkEnd w:id="242"/>
      <w:r>
        <w:lastRenderedPageBreak/>
        <w:t>Moose</w:t>
      </w:r>
      <w:bookmarkEnd w:id="266"/>
      <w:r w:rsidR="00E21C07">
        <w:t xml:space="preserve"> Habitat Effectiveness</w:t>
      </w:r>
      <w:bookmarkEnd w:id="267"/>
    </w:p>
    <w:p w:rsidR="00F22C17" w:rsidRDefault="00BA01E7" w:rsidP="00F22C17">
      <w:pPr>
        <w:spacing w:before="240"/>
      </w:pPr>
      <w:r>
        <w:t>The response of moose habitat to changes in landscape composition was assessed using a habitat suitability index (HSI) model developed for northeastern Alberta.  HSI models are knowledge-based (as opposed to empirical) models that can incorporate information from a variety of sources.  The moose HSI is based on literature review and expert opinion.  The model was originally developed for the Cumulative Environmental Management Association (www.cemaonline.ca), and subsequently revised through the Lower Athaba</w:t>
      </w:r>
      <w:r w:rsidR="00F22C17">
        <w:t>sca Regional Planning process.</w:t>
      </w:r>
    </w:p>
    <w:p w:rsidR="00BA01E7" w:rsidRDefault="00BA01E7" w:rsidP="00F22C17">
      <w:pPr>
        <w:spacing w:before="240"/>
      </w:pPr>
      <w:r>
        <w:t>The HSI model combines information related to habitat availability and quality to calculate an index that ranges from 0 to 1.  Steps required to calculate the in</w:t>
      </w:r>
      <w:r w:rsidR="001009B5">
        <w:t>dex are summarized below.</w:t>
      </w:r>
    </w:p>
    <w:p w:rsidR="00BA01E7" w:rsidRDefault="00BA01E7" w:rsidP="00BA01E7"/>
    <w:p w:rsidR="00BA01E7" w:rsidRPr="00E77828" w:rsidRDefault="00BA01E7" w:rsidP="00BA01E7">
      <w:pPr>
        <w:pStyle w:val="ListParagraph"/>
        <w:numPr>
          <w:ilvl w:val="0"/>
          <w:numId w:val="26"/>
        </w:numPr>
        <w:rPr>
          <w:rFonts w:ascii="Times New Roman" w:hAnsi="Times New Roman" w:cs="Times New Roman"/>
          <w:sz w:val="24"/>
        </w:rPr>
      </w:pPr>
      <w:r w:rsidRPr="00E77828">
        <w:rPr>
          <w:rFonts w:ascii="Times New Roman" w:hAnsi="Times New Roman" w:cs="Times New Roman"/>
          <w:sz w:val="24"/>
        </w:rPr>
        <w:t>For each cover type (including footprints), habitat availability is assessed as the product of its proportional abundance and its habitat value.  Habit</w:t>
      </w:r>
      <w:r w:rsidR="0039374A" w:rsidRPr="00E77828">
        <w:rPr>
          <w:rFonts w:ascii="Times New Roman" w:hAnsi="Times New Roman" w:cs="Times New Roman"/>
          <w:sz w:val="24"/>
        </w:rPr>
        <w:t>at value</w:t>
      </w:r>
      <w:r w:rsidRPr="00E77828">
        <w:rPr>
          <w:rFonts w:ascii="Times New Roman" w:hAnsi="Times New Roman" w:cs="Times New Roman"/>
          <w:sz w:val="24"/>
        </w:rPr>
        <w:t xml:space="preserve"> is a parameter that expresses the utility of a cover type to the species, where 0 indicates no utility and 1 indicates capacity to support the species’ maximum density.  To account for avoidance and mortality, the habitat value of landcover in proximity of anthropogenic footprints such as roads can be reduced by applying buffers to footprint and down-weighting the value of habitat within the buffer by a proportional use coefficient, i.e., the proportion of habitat within the buffer that is used.  The width of the buffers can be reduced to account for strategies that limit human access and therefore the impact of anthropogenic footprints.</w:t>
      </w:r>
    </w:p>
    <w:p w:rsidR="00BA01E7" w:rsidRPr="00E77828" w:rsidRDefault="00BA01E7" w:rsidP="00BA01E7">
      <w:pPr>
        <w:pStyle w:val="ListParagraph"/>
        <w:numPr>
          <w:ilvl w:val="0"/>
          <w:numId w:val="26"/>
        </w:numPr>
        <w:rPr>
          <w:rFonts w:ascii="Times New Roman" w:hAnsi="Times New Roman" w:cs="Times New Roman"/>
          <w:sz w:val="24"/>
        </w:rPr>
      </w:pPr>
      <w:r w:rsidRPr="00E77828">
        <w:rPr>
          <w:rFonts w:ascii="Times New Roman" w:hAnsi="Times New Roman" w:cs="Times New Roman"/>
          <w:sz w:val="24"/>
        </w:rPr>
        <w:t xml:space="preserve">Habitat quality is a value ranging from 0 to 1 that incorporates the effect of other landscape attributes on habitat such as forest age and human population density.  For each relevant landscape attribute, a response surface ranging from 0 to 1 dictates the relationship between habitat quality and the status of the attribute.  Each attribute is given a weight, whereby the sum of weights equals 1.  Habitat quality for each landcover type is then calculated as the sum of the products of the quality of each habitat attribute and its weight.  </w:t>
      </w:r>
    </w:p>
    <w:p w:rsidR="00BA01E7" w:rsidRPr="00E77828" w:rsidRDefault="00BA01E7" w:rsidP="00BA01E7">
      <w:pPr>
        <w:pStyle w:val="ListParagraph"/>
        <w:numPr>
          <w:ilvl w:val="0"/>
          <w:numId w:val="26"/>
        </w:numPr>
        <w:rPr>
          <w:rFonts w:ascii="Times New Roman" w:hAnsi="Times New Roman" w:cs="Times New Roman"/>
          <w:sz w:val="24"/>
        </w:rPr>
      </w:pPr>
      <w:r w:rsidRPr="00E77828">
        <w:rPr>
          <w:rFonts w:ascii="Times New Roman" w:hAnsi="Times New Roman" w:cs="Times New Roman"/>
          <w:sz w:val="24"/>
        </w:rPr>
        <w:t xml:space="preserve">Habitat suitability (i.e., HSI) is then calculated as the sum of the products of each cover type’s habitat availability and habitat quality.  </w:t>
      </w:r>
    </w:p>
    <w:p w:rsidR="00BA01E7" w:rsidRDefault="00BA01E7" w:rsidP="00BA01E7">
      <w:r>
        <w:t>The moose HSI assumes that deciduous forest has the highest habitat value, followed by mixedwood forest and shrubland due to the capacity of these cover types to provide browse and cover</w:t>
      </w:r>
      <w:r w:rsidR="00F327B4">
        <w:t xml:space="preserve"> (</w:t>
      </w:r>
      <w:r w:rsidR="00575CA7">
        <w:fldChar w:fldCharType="begin"/>
      </w:r>
      <w:r w:rsidR="00F327B4">
        <w:instrText xml:space="preserve"> REF _Ref326261677 \h </w:instrText>
      </w:r>
      <w:r w:rsidR="00575CA7">
        <w:fldChar w:fldCharType="separate"/>
      </w:r>
      <w:r w:rsidR="003648B8">
        <w:t xml:space="preserve">Table </w:t>
      </w:r>
      <w:r w:rsidR="003648B8">
        <w:rPr>
          <w:noProof/>
        </w:rPr>
        <w:t>4</w:t>
      </w:r>
      <w:r w:rsidR="00575CA7">
        <w:fldChar w:fldCharType="end"/>
      </w:r>
      <w:r w:rsidR="00F327B4">
        <w:t>)</w:t>
      </w:r>
      <w:r>
        <w:t>.  To account for the impact of human access, especially hunting, anthropogenic footprints are buffered by 50 to 200 m when calculating habitat availability</w:t>
      </w:r>
      <w:r w:rsidR="00F327B4">
        <w:t xml:space="preserve"> (</w:t>
      </w:r>
      <w:r w:rsidR="00575CA7">
        <w:fldChar w:fldCharType="begin"/>
      </w:r>
      <w:r w:rsidR="00F327B4">
        <w:instrText xml:space="preserve"> REF _Ref326261823 \h </w:instrText>
      </w:r>
      <w:r w:rsidR="00575CA7">
        <w:fldChar w:fldCharType="separate"/>
      </w:r>
      <w:r w:rsidR="003648B8">
        <w:t xml:space="preserve">Table </w:t>
      </w:r>
      <w:r w:rsidR="003648B8">
        <w:rPr>
          <w:noProof/>
        </w:rPr>
        <w:t>5</w:t>
      </w:r>
      <w:r w:rsidR="00575CA7">
        <w:fldChar w:fldCharType="end"/>
      </w:r>
      <w:r w:rsidR="00F327B4">
        <w:t>)</w:t>
      </w:r>
      <w:r>
        <w:t xml:space="preserve">.  Buffer widths are reduced in scenarios where access management is applied based on interviews with Alberta wildlife management experts (Sullivan 2011).  In addition, the 200 m buffer associated with existing seismic lines was reduced by 50% for future (i.e., simulated) seismic lines which are assumed to be low impact.  An objective of low impact seismic is to reduce their use as trails by </w:t>
      </w:r>
      <w:r w:rsidR="0039374A">
        <w:t>people</w:t>
      </w:r>
      <w:r>
        <w:t xml:space="preserve">.  Although the extent to which human access is reduced along low impact seismic is yet to be assessed by research, it seems likely that </w:t>
      </w:r>
      <w:r>
        <w:lastRenderedPageBreak/>
        <w:t xml:space="preserve">motorized access will be more challenging along the narrow lines.  We assume a 50% reduction in human access (and therefore impacts to moose) along low impact seismic in the absence of empirical data. </w:t>
      </w:r>
    </w:p>
    <w:p w:rsidR="009E7586" w:rsidRDefault="009E7586" w:rsidP="00BA01E7"/>
    <w:p w:rsidR="00BA01E7" w:rsidRDefault="00BA01E7" w:rsidP="00BA01E7">
      <w:r>
        <w:t>Forest age is assumed to be the only determinant of habitat quality</w:t>
      </w:r>
      <w:r w:rsidR="00F327B4">
        <w:t xml:space="preserve"> (</w:t>
      </w:r>
      <w:r w:rsidR="00575CA7">
        <w:fldChar w:fldCharType="begin"/>
      </w:r>
      <w:r w:rsidR="00F327B4">
        <w:instrText xml:space="preserve"> REF _Ref326261891 \h </w:instrText>
      </w:r>
      <w:r w:rsidR="00575CA7">
        <w:fldChar w:fldCharType="separate"/>
      </w:r>
      <w:r w:rsidR="003648B8">
        <w:t xml:space="preserve">Table </w:t>
      </w:r>
      <w:r w:rsidR="003648B8">
        <w:rPr>
          <w:noProof/>
        </w:rPr>
        <w:t>6</w:t>
      </w:r>
      <w:r w:rsidR="00575CA7">
        <w:fldChar w:fldCharType="end"/>
      </w:r>
      <w:r w:rsidR="00F327B4">
        <w:t>)</w:t>
      </w:r>
      <w:r>
        <w:t xml:space="preserve">.  Although linear disturbance density and human density were also included as habitat quality attributes in the original model developed for CEMA, they were removed here to avoid double counting (i.e., exaggerating) the impact of human access which is already represented by footprint buffers.  The moose HSI is assessed separately in ALCES for protected and unprotected portions of the landscape, and an overall average HSI value is then calculated as an area weighted average.  When calculating HSI in protected portions of the landscape, anthropogenic footprint is considered to be negligible.  </w:t>
      </w:r>
      <w:r w:rsidR="009E7586">
        <w:t xml:space="preserve"> </w:t>
      </w:r>
    </w:p>
    <w:p w:rsidR="009E7586" w:rsidRDefault="009E7586" w:rsidP="00BA01E7"/>
    <w:p w:rsidR="00F22C17" w:rsidRDefault="00BA01E7" w:rsidP="00BA01E7">
      <w:r>
        <w:t>Status of the moose HSI is assessed relative to an estimated range of natural variation.  Departure from RNV was used to infer risk to species (e.g., moose) by applying a set of risk categories that are proposed Alberta’s Biodiversity Management System and based on those used by International Union for the Conservation of Nature (Micha</w:t>
      </w:r>
      <w:r w:rsidR="00F22C17">
        <w:t xml:space="preserve">el Sullivan, ASRD, pers comm). </w:t>
      </w:r>
    </w:p>
    <w:p w:rsidR="00360B31" w:rsidRDefault="00360B31" w:rsidP="00BA01E7"/>
    <w:p w:rsidR="002F4BF0" w:rsidRPr="0044101A" w:rsidRDefault="002F4BF0" w:rsidP="002F4BF0">
      <w:pPr>
        <w:pStyle w:val="Heading4"/>
        <w:rPr>
          <w:sz w:val="22"/>
        </w:rPr>
      </w:pPr>
      <w:proofErr w:type="gramStart"/>
      <w:r w:rsidRPr="0044101A">
        <w:rPr>
          <w:sz w:val="22"/>
        </w:rPr>
        <w:t>General information on moose and justification for use as an indicator.</w:t>
      </w:r>
      <w:proofErr w:type="gramEnd"/>
    </w:p>
    <w:p w:rsidR="00F22C17" w:rsidRDefault="002F4BF0" w:rsidP="00F22C17">
      <w:pPr>
        <w:pStyle w:val="BodyText"/>
      </w:pPr>
      <w:r>
        <w:t xml:space="preserve">Moose are </w:t>
      </w:r>
      <w:r w:rsidR="00F22C17">
        <w:t>important cultural</w:t>
      </w:r>
      <w:r w:rsidR="003B6796">
        <w:t>ly</w:t>
      </w:r>
      <w:r w:rsidR="00F22C17">
        <w:t xml:space="preserve"> and </w:t>
      </w:r>
      <w:r w:rsidR="003B6796">
        <w:t xml:space="preserve">provide a </w:t>
      </w:r>
      <w:r w:rsidR="00F22C17">
        <w:t xml:space="preserve">subsistence source of country food for northern aboriginal communities (Pyc 1999, Wein et al. 1991). Management of moose in northern Alberta is largely focussed on stabilizing and increasing moose densities in order to provide optimal hunting opportunities (ASRD 2002). Moose surveys are conducted every 5 to 20 years for a given WMU. </w:t>
      </w:r>
    </w:p>
    <w:p w:rsidR="00F22C17" w:rsidRDefault="00F22C17" w:rsidP="00F22C17">
      <w:pPr>
        <w:pStyle w:val="BodyText"/>
      </w:pPr>
      <w:r>
        <w:t>The regional moose population</w:t>
      </w:r>
      <w:r w:rsidR="002F4BF0">
        <w:t xml:space="preserve"> of northeast Alberta</w:t>
      </w:r>
      <w:r>
        <w:t xml:space="preserve"> is generally thought to be stab</w:t>
      </w:r>
      <w:r w:rsidR="002F4BF0">
        <w:t xml:space="preserve">le, with </w:t>
      </w:r>
      <w:r>
        <w:t xml:space="preserve">densities of moose </w:t>
      </w:r>
      <w:r w:rsidR="002F4BF0">
        <w:t>being</w:t>
      </w:r>
      <w:r>
        <w:t xml:space="preserve"> greater in the southern portion (~ 20-37 moose / 100 km</w:t>
      </w:r>
      <w:r w:rsidRPr="00A55F0B">
        <w:rPr>
          <w:vertAlign w:val="superscript"/>
        </w:rPr>
        <w:t>2</w:t>
      </w:r>
      <w:r>
        <w:t>) compared to the northern WMUs (~ 5-18 moose /100 km</w:t>
      </w:r>
      <w:r w:rsidRPr="00A55F0B">
        <w:rPr>
          <w:vertAlign w:val="superscript"/>
        </w:rPr>
        <w:t>2</w:t>
      </w:r>
      <w:r>
        <w:t xml:space="preserve">; ASRD unpublished data). This is likely due to agricultural influences and reduced number of predators in farming areas (Schneider and Wasel 2000); wood lots, riparian areas and grain alfalfa/hay fields associated with agricultural </w:t>
      </w:r>
      <w:r w:rsidR="00C544DE">
        <w:t>land-use</w:t>
      </w:r>
      <w:r>
        <w:t xml:space="preserve"> in the southern area provide desirable forage and likely influence moose distribution. </w:t>
      </w:r>
      <w:r w:rsidR="002F4BF0">
        <w:t>M</w:t>
      </w:r>
      <w:r w:rsidRPr="005A5EE9">
        <w:t xml:space="preserve">oose concentrate </w:t>
      </w:r>
      <w:r w:rsidR="002F4BF0">
        <w:t>during</w:t>
      </w:r>
      <w:r w:rsidRPr="005A5EE9">
        <w:t xml:space="preserve"> late winter in rip</w:t>
      </w:r>
      <w:r w:rsidR="002F4BF0">
        <w:t>arian zones and old burn areas and use</w:t>
      </w:r>
      <w:r>
        <w:t xml:space="preserve"> available habitats differently depending on the season and whether they live within lowland or upland landscapes (Osko et al. 2004)</w:t>
      </w:r>
      <w:r w:rsidRPr="005A5EE9">
        <w:t>.</w:t>
      </w:r>
      <w:r>
        <w:t xml:space="preserve"> </w:t>
      </w:r>
      <w:r w:rsidRPr="005A5EE9">
        <w:t xml:space="preserve"> </w:t>
      </w:r>
    </w:p>
    <w:p w:rsidR="00F22C17" w:rsidRDefault="00F22C17" w:rsidP="00F22C17">
      <w:pPr>
        <w:pStyle w:val="BodyText"/>
      </w:pPr>
      <w:r>
        <w:t xml:space="preserve">Moose are browsers as opposed to grazers and prefer early successional habitats that typically provide abundant food. Under good habitat conditions, female moose may give birth as 2 year olds (Schwartz 1992, Boer 1992) and twins are more common when food availability is high (Franzmann and Schwartz 1985, Boer 1992). Moose have a high reproductive output compared to other similar sized ungulates (Gaillard 2007), making the species adaptive and resilient to natural environmental variation and able to reproduce quickly when food resources are abundant (Ferguson 2002). </w:t>
      </w:r>
    </w:p>
    <w:p w:rsidR="00F22C17" w:rsidRDefault="00F22C17" w:rsidP="00F22C17">
      <w:pPr>
        <w:pStyle w:val="BodyText"/>
      </w:pPr>
      <w:r>
        <w:t xml:space="preserve">Moose are well adapted morphologically and behaviourally to winter snow conditions in northern boreal forests (Telfer and Kelsall 1984). Moose populations can be limited or </w:t>
      </w:r>
      <w:r>
        <w:lastRenderedPageBreak/>
        <w:t>regulated by interactions of ecological and climatic factors, but the main factors affecting resilience of moose populations are primarily related to 1) overall habitat productivity, i.e., food abundance (Ferguson et al. 2000), and 2) total mortality from natural predation and human caused deaths</w:t>
      </w:r>
      <w:r w:rsidRPr="00F14D7B">
        <w:t xml:space="preserve"> </w:t>
      </w:r>
      <w:r>
        <w:t xml:space="preserve">(Messier 1994). For example, moose populations that live in productive habitats have high reproductive output and may be regulated by food abundance despite natural predation by wolves (Messier 1994). Conversely, moose that live in habitats with poor productivity have reduced reproductive potential and the population will likely be regulated at low densities by wolf predation (Messier and Crete 1985). Consequently, direct and indirect loss in habitat quantity and quality can reduce resilience of moose populations. Resilience of a moose population may also be reduced when total mortality increases due to natural predation from more than one species, i.e., wolves and bears, combined with the effects of human harvest (Gasaway et al. 1992, Messier 1994). </w:t>
      </w:r>
    </w:p>
    <w:p w:rsidR="00F22C17" w:rsidRDefault="00F22C17" w:rsidP="00BA01E7"/>
    <w:p w:rsidR="009E7586" w:rsidRDefault="009E7586">
      <w:pPr>
        <w:spacing w:after="200" w:line="276" w:lineRule="auto"/>
        <w:rPr>
          <w:b/>
          <w:bCs/>
          <w:sz w:val="20"/>
          <w:szCs w:val="20"/>
          <w:lang w:eastAsia="en-CA"/>
        </w:rPr>
      </w:pPr>
      <w:bookmarkStart w:id="268" w:name="_Toc301950409"/>
      <w:r>
        <w:br w:type="page"/>
      </w:r>
    </w:p>
    <w:p w:rsidR="00360B31" w:rsidRDefault="00360B31" w:rsidP="00360B31">
      <w:pPr>
        <w:pStyle w:val="Caption"/>
        <w:keepNext/>
      </w:pPr>
      <w:bookmarkStart w:id="269" w:name="_Ref326261677"/>
      <w:bookmarkStart w:id="270" w:name="_Toc338703768"/>
      <w:proofErr w:type="gramStart"/>
      <w:r>
        <w:lastRenderedPageBreak/>
        <w:t xml:space="preserve">Table </w:t>
      </w:r>
      <w:r w:rsidR="00575CA7">
        <w:fldChar w:fldCharType="begin"/>
      </w:r>
      <w:r w:rsidR="00D75024">
        <w:instrText xml:space="preserve"> SEQ Table \* ARABIC </w:instrText>
      </w:r>
      <w:r w:rsidR="00575CA7">
        <w:fldChar w:fldCharType="separate"/>
      </w:r>
      <w:r w:rsidR="002B4C72">
        <w:rPr>
          <w:noProof/>
        </w:rPr>
        <w:t>4</w:t>
      </w:r>
      <w:r w:rsidR="00575CA7">
        <w:fldChar w:fldCharType="end"/>
      </w:r>
      <w:bookmarkEnd w:id="269"/>
      <w:r>
        <w:t>.</w:t>
      </w:r>
      <w:proofErr w:type="gramEnd"/>
      <w:r>
        <w:t xml:space="preserve"> </w:t>
      </w:r>
      <w:proofErr w:type="gramStart"/>
      <w:r>
        <w:t>Habitat value by cover or footprint type for the moose HSI model.</w:t>
      </w:r>
      <w:proofErr w:type="gramEnd"/>
      <w:r>
        <w:t xml:space="preserve">  Values are based on a HSI model developed for CEMA.</w:t>
      </w:r>
      <w:bookmarkEnd w:id="268"/>
      <w:bookmarkEnd w:id="270"/>
    </w:p>
    <w:tbl>
      <w:tblPr>
        <w:tblStyle w:val="TableGrid"/>
        <w:tblW w:w="0" w:type="auto"/>
        <w:tblLook w:val="04A0"/>
      </w:tblPr>
      <w:tblGrid>
        <w:gridCol w:w="2581"/>
        <w:gridCol w:w="5421"/>
        <w:gridCol w:w="1214"/>
      </w:tblGrid>
      <w:tr w:rsidR="00360B31" w:rsidTr="007C6461">
        <w:tc>
          <w:tcPr>
            <w:tcW w:w="2660" w:type="dxa"/>
          </w:tcPr>
          <w:p w:rsidR="00360B31" w:rsidRPr="00C432DE" w:rsidRDefault="00360B31" w:rsidP="007C6461">
            <w:pPr>
              <w:rPr>
                <w:sz w:val="20"/>
                <w:szCs w:val="20"/>
              </w:rPr>
            </w:pPr>
            <w:r w:rsidRPr="00C432DE">
              <w:rPr>
                <w:sz w:val="20"/>
                <w:szCs w:val="20"/>
              </w:rPr>
              <w:t>Cover or footprint type</w:t>
            </w:r>
          </w:p>
        </w:tc>
        <w:tc>
          <w:tcPr>
            <w:tcW w:w="5670" w:type="dxa"/>
          </w:tcPr>
          <w:p w:rsidR="00360B31" w:rsidRPr="00C432DE" w:rsidRDefault="00360B31" w:rsidP="007C6461">
            <w:pPr>
              <w:rPr>
                <w:sz w:val="20"/>
                <w:szCs w:val="20"/>
              </w:rPr>
            </w:pPr>
            <w:r w:rsidRPr="00C432DE">
              <w:rPr>
                <w:sz w:val="20"/>
                <w:szCs w:val="20"/>
              </w:rPr>
              <w:t>Corresponding</w:t>
            </w:r>
            <w:r w:rsidR="00C432DE" w:rsidRPr="00C432DE">
              <w:rPr>
                <w:sz w:val="20"/>
                <w:szCs w:val="20"/>
              </w:rPr>
              <w:t xml:space="preserve"> class from model developed for CEMA</w:t>
            </w:r>
          </w:p>
        </w:tc>
        <w:tc>
          <w:tcPr>
            <w:tcW w:w="1246" w:type="dxa"/>
          </w:tcPr>
          <w:p w:rsidR="00360B31" w:rsidRPr="00C432DE" w:rsidRDefault="00360B31" w:rsidP="007C6461">
            <w:pPr>
              <w:rPr>
                <w:sz w:val="20"/>
                <w:szCs w:val="20"/>
              </w:rPr>
            </w:pPr>
            <w:r w:rsidRPr="00C432DE">
              <w:rPr>
                <w:sz w:val="20"/>
                <w:szCs w:val="20"/>
              </w:rPr>
              <w:t>Value</w:t>
            </w:r>
          </w:p>
        </w:tc>
      </w:tr>
      <w:tr w:rsidR="00360B31" w:rsidTr="007C6461">
        <w:tc>
          <w:tcPr>
            <w:tcW w:w="2660" w:type="dxa"/>
          </w:tcPr>
          <w:p w:rsidR="00360B31" w:rsidRPr="00C432DE" w:rsidRDefault="00360B31" w:rsidP="007C6461">
            <w:pPr>
              <w:rPr>
                <w:sz w:val="20"/>
                <w:szCs w:val="20"/>
              </w:rPr>
            </w:pPr>
            <w:r w:rsidRPr="00C432DE">
              <w:rPr>
                <w:sz w:val="20"/>
                <w:szCs w:val="20"/>
              </w:rPr>
              <w:t>Deciduous</w:t>
            </w:r>
          </w:p>
        </w:tc>
        <w:tc>
          <w:tcPr>
            <w:tcW w:w="5670" w:type="dxa"/>
          </w:tcPr>
          <w:p w:rsidR="00360B31" w:rsidRPr="00C432DE" w:rsidRDefault="00360B31" w:rsidP="007C6461">
            <w:pPr>
              <w:rPr>
                <w:sz w:val="20"/>
                <w:szCs w:val="20"/>
              </w:rPr>
            </w:pPr>
            <w:r w:rsidRPr="00C432DE">
              <w:rPr>
                <w:sz w:val="20"/>
                <w:szCs w:val="20"/>
              </w:rPr>
              <w:t>Hardwood</w:t>
            </w:r>
          </w:p>
        </w:tc>
        <w:tc>
          <w:tcPr>
            <w:tcW w:w="1246" w:type="dxa"/>
          </w:tcPr>
          <w:p w:rsidR="00360B31" w:rsidRPr="00C432DE" w:rsidRDefault="00360B31" w:rsidP="00C432DE">
            <w:pPr>
              <w:ind w:right="135"/>
              <w:jc w:val="right"/>
              <w:rPr>
                <w:sz w:val="20"/>
                <w:szCs w:val="20"/>
              </w:rPr>
            </w:pPr>
            <w:r w:rsidRPr="00C432DE">
              <w:rPr>
                <w:sz w:val="20"/>
                <w:szCs w:val="20"/>
              </w:rPr>
              <w:t>0.93</w:t>
            </w:r>
          </w:p>
        </w:tc>
      </w:tr>
      <w:tr w:rsidR="00360B31" w:rsidTr="007C6461">
        <w:tc>
          <w:tcPr>
            <w:tcW w:w="2660" w:type="dxa"/>
          </w:tcPr>
          <w:p w:rsidR="00360B31" w:rsidRPr="00C432DE" w:rsidRDefault="00360B31" w:rsidP="007C6461">
            <w:pPr>
              <w:rPr>
                <w:sz w:val="20"/>
                <w:szCs w:val="20"/>
              </w:rPr>
            </w:pPr>
            <w:r w:rsidRPr="00C432DE">
              <w:rPr>
                <w:sz w:val="20"/>
                <w:szCs w:val="20"/>
              </w:rPr>
              <w:t>Mixedwood</w:t>
            </w:r>
          </w:p>
        </w:tc>
        <w:tc>
          <w:tcPr>
            <w:tcW w:w="5670" w:type="dxa"/>
          </w:tcPr>
          <w:p w:rsidR="00360B31" w:rsidRPr="00C432DE" w:rsidRDefault="00360B31" w:rsidP="007C6461">
            <w:pPr>
              <w:rPr>
                <w:sz w:val="20"/>
                <w:szCs w:val="20"/>
              </w:rPr>
            </w:pPr>
            <w:r w:rsidRPr="00C432DE">
              <w:rPr>
                <w:sz w:val="20"/>
                <w:szCs w:val="20"/>
              </w:rPr>
              <w:t>Mixedwood</w:t>
            </w:r>
          </w:p>
        </w:tc>
        <w:tc>
          <w:tcPr>
            <w:tcW w:w="1246" w:type="dxa"/>
          </w:tcPr>
          <w:p w:rsidR="00360B31" w:rsidRPr="00C432DE" w:rsidRDefault="00360B31" w:rsidP="00C432DE">
            <w:pPr>
              <w:ind w:right="135"/>
              <w:jc w:val="right"/>
              <w:rPr>
                <w:sz w:val="20"/>
                <w:szCs w:val="20"/>
              </w:rPr>
            </w:pPr>
            <w:r w:rsidRPr="00C432DE">
              <w:rPr>
                <w:sz w:val="20"/>
                <w:szCs w:val="20"/>
              </w:rPr>
              <w:t>0.7</w:t>
            </w:r>
          </w:p>
        </w:tc>
      </w:tr>
      <w:tr w:rsidR="00360B31" w:rsidTr="007C6461">
        <w:tc>
          <w:tcPr>
            <w:tcW w:w="2660" w:type="dxa"/>
          </w:tcPr>
          <w:p w:rsidR="00360B31" w:rsidRPr="00C432DE" w:rsidRDefault="00360B31" w:rsidP="007C6461">
            <w:pPr>
              <w:rPr>
                <w:sz w:val="20"/>
                <w:szCs w:val="20"/>
              </w:rPr>
            </w:pPr>
            <w:r w:rsidRPr="00C432DE">
              <w:rPr>
                <w:sz w:val="20"/>
                <w:szCs w:val="20"/>
              </w:rPr>
              <w:t>Coniferous</w:t>
            </w:r>
          </w:p>
        </w:tc>
        <w:tc>
          <w:tcPr>
            <w:tcW w:w="5670" w:type="dxa"/>
          </w:tcPr>
          <w:p w:rsidR="00360B31" w:rsidRPr="00C432DE" w:rsidRDefault="00360B31" w:rsidP="007C6461">
            <w:pPr>
              <w:rPr>
                <w:sz w:val="20"/>
                <w:szCs w:val="20"/>
              </w:rPr>
            </w:pPr>
            <w:r w:rsidRPr="00C432DE">
              <w:rPr>
                <w:sz w:val="20"/>
                <w:szCs w:val="20"/>
              </w:rPr>
              <w:t>White spruce, Pine (weighted average</w:t>
            </w:r>
            <w:r w:rsidRPr="00C432DE">
              <w:rPr>
                <w:rStyle w:val="FootnoteReference"/>
                <w:sz w:val="20"/>
                <w:szCs w:val="20"/>
              </w:rPr>
              <w:footnoteReference w:id="1"/>
            </w:r>
            <w:r w:rsidRPr="00C432DE">
              <w:rPr>
                <w:sz w:val="20"/>
                <w:szCs w:val="20"/>
              </w:rPr>
              <w:t>)</w:t>
            </w:r>
          </w:p>
        </w:tc>
        <w:tc>
          <w:tcPr>
            <w:tcW w:w="1246" w:type="dxa"/>
          </w:tcPr>
          <w:p w:rsidR="00360B31" w:rsidRPr="00C432DE" w:rsidRDefault="00360B31" w:rsidP="00C432DE">
            <w:pPr>
              <w:ind w:right="135"/>
              <w:jc w:val="right"/>
              <w:rPr>
                <w:sz w:val="20"/>
                <w:szCs w:val="20"/>
              </w:rPr>
            </w:pPr>
            <w:r w:rsidRPr="00C432DE">
              <w:rPr>
                <w:sz w:val="20"/>
                <w:szCs w:val="20"/>
              </w:rPr>
              <w:t>0.49</w:t>
            </w:r>
          </w:p>
        </w:tc>
      </w:tr>
      <w:tr w:rsidR="00360B31" w:rsidTr="007C6461">
        <w:tc>
          <w:tcPr>
            <w:tcW w:w="2660" w:type="dxa"/>
          </w:tcPr>
          <w:p w:rsidR="00360B31" w:rsidRPr="00C432DE" w:rsidRDefault="00360B31" w:rsidP="007C6461">
            <w:pPr>
              <w:rPr>
                <w:sz w:val="20"/>
                <w:szCs w:val="20"/>
              </w:rPr>
            </w:pPr>
            <w:r w:rsidRPr="00C432DE">
              <w:rPr>
                <w:sz w:val="20"/>
                <w:szCs w:val="20"/>
              </w:rPr>
              <w:t>Shrub</w:t>
            </w:r>
          </w:p>
        </w:tc>
        <w:tc>
          <w:tcPr>
            <w:tcW w:w="5670" w:type="dxa"/>
          </w:tcPr>
          <w:p w:rsidR="00360B31" w:rsidRPr="00C432DE" w:rsidRDefault="00360B31" w:rsidP="007C6461">
            <w:pPr>
              <w:rPr>
                <w:sz w:val="20"/>
                <w:szCs w:val="20"/>
              </w:rPr>
            </w:pPr>
            <w:r w:rsidRPr="00C432DE">
              <w:rPr>
                <w:sz w:val="20"/>
                <w:szCs w:val="20"/>
              </w:rPr>
              <w:t>Shrub tall, Shrub low</w:t>
            </w:r>
          </w:p>
        </w:tc>
        <w:tc>
          <w:tcPr>
            <w:tcW w:w="1246" w:type="dxa"/>
          </w:tcPr>
          <w:p w:rsidR="00360B31" w:rsidRPr="00C432DE" w:rsidRDefault="00360B31" w:rsidP="00C432DE">
            <w:pPr>
              <w:ind w:right="135"/>
              <w:jc w:val="right"/>
              <w:rPr>
                <w:sz w:val="20"/>
                <w:szCs w:val="20"/>
              </w:rPr>
            </w:pPr>
            <w:r w:rsidRPr="00C432DE">
              <w:rPr>
                <w:sz w:val="20"/>
                <w:szCs w:val="20"/>
              </w:rPr>
              <w:t>0.7</w:t>
            </w:r>
          </w:p>
        </w:tc>
      </w:tr>
      <w:tr w:rsidR="00360B31" w:rsidTr="007C6461">
        <w:tc>
          <w:tcPr>
            <w:tcW w:w="2660" w:type="dxa"/>
          </w:tcPr>
          <w:p w:rsidR="00360B31" w:rsidRPr="00C432DE" w:rsidRDefault="00360B31" w:rsidP="007C6461">
            <w:pPr>
              <w:rPr>
                <w:sz w:val="20"/>
                <w:szCs w:val="20"/>
              </w:rPr>
            </w:pPr>
            <w:r w:rsidRPr="00C432DE">
              <w:rPr>
                <w:sz w:val="20"/>
                <w:szCs w:val="20"/>
              </w:rPr>
              <w:t>Bryoids</w:t>
            </w:r>
          </w:p>
        </w:tc>
        <w:tc>
          <w:tcPr>
            <w:tcW w:w="5670" w:type="dxa"/>
          </w:tcPr>
          <w:p w:rsidR="00360B31" w:rsidRPr="00C432DE" w:rsidRDefault="00360B31" w:rsidP="007C6461">
            <w:pPr>
              <w:rPr>
                <w:sz w:val="20"/>
                <w:szCs w:val="20"/>
              </w:rPr>
            </w:pPr>
            <w:r w:rsidRPr="00C432DE">
              <w:rPr>
                <w:sz w:val="20"/>
                <w:szCs w:val="20"/>
              </w:rPr>
              <w:t>Open black spruce lichen moss</w:t>
            </w:r>
          </w:p>
        </w:tc>
        <w:tc>
          <w:tcPr>
            <w:tcW w:w="1246" w:type="dxa"/>
          </w:tcPr>
          <w:p w:rsidR="00360B31" w:rsidRPr="00C432DE" w:rsidRDefault="00360B31" w:rsidP="00C432DE">
            <w:pPr>
              <w:ind w:right="135"/>
              <w:jc w:val="right"/>
              <w:rPr>
                <w:sz w:val="20"/>
                <w:szCs w:val="20"/>
              </w:rPr>
            </w:pPr>
            <w:r w:rsidRPr="00C432DE">
              <w:rPr>
                <w:sz w:val="20"/>
                <w:szCs w:val="20"/>
              </w:rPr>
              <w:t>0.2</w:t>
            </w:r>
          </w:p>
        </w:tc>
      </w:tr>
      <w:tr w:rsidR="00360B31" w:rsidTr="007C6461">
        <w:tc>
          <w:tcPr>
            <w:tcW w:w="2660" w:type="dxa"/>
          </w:tcPr>
          <w:p w:rsidR="00360B31" w:rsidRPr="00C432DE" w:rsidRDefault="00360B31" w:rsidP="007C6461">
            <w:pPr>
              <w:rPr>
                <w:sz w:val="20"/>
                <w:szCs w:val="20"/>
              </w:rPr>
            </w:pPr>
            <w:r w:rsidRPr="00C432DE">
              <w:rPr>
                <w:sz w:val="20"/>
                <w:szCs w:val="20"/>
              </w:rPr>
              <w:t>Herbaceous</w:t>
            </w:r>
          </w:p>
        </w:tc>
        <w:tc>
          <w:tcPr>
            <w:tcW w:w="5670" w:type="dxa"/>
          </w:tcPr>
          <w:p w:rsidR="00360B31" w:rsidRPr="00C432DE" w:rsidRDefault="00360B31" w:rsidP="007C6461">
            <w:pPr>
              <w:rPr>
                <w:sz w:val="20"/>
                <w:szCs w:val="20"/>
              </w:rPr>
            </w:pPr>
            <w:r w:rsidRPr="00C432DE">
              <w:rPr>
                <w:sz w:val="20"/>
                <w:szCs w:val="20"/>
              </w:rPr>
              <w:t>Native herbaceous</w:t>
            </w:r>
          </w:p>
        </w:tc>
        <w:tc>
          <w:tcPr>
            <w:tcW w:w="1246" w:type="dxa"/>
          </w:tcPr>
          <w:p w:rsidR="00360B31" w:rsidRPr="00C432DE" w:rsidRDefault="00360B31" w:rsidP="00C432DE">
            <w:pPr>
              <w:ind w:right="135"/>
              <w:jc w:val="right"/>
              <w:rPr>
                <w:sz w:val="20"/>
                <w:szCs w:val="20"/>
              </w:rPr>
            </w:pPr>
            <w:r w:rsidRPr="00C432DE">
              <w:rPr>
                <w:sz w:val="20"/>
                <w:szCs w:val="20"/>
              </w:rPr>
              <w:t>0.5</w:t>
            </w:r>
          </w:p>
        </w:tc>
      </w:tr>
      <w:tr w:rsidR="00360B31" w:rsidTr="007C6461">
        <w:tc>
          <w:tcPr>
            <w:tcW w:w="2660" w:type="dxa"/>
          </w:tcPr>
          <w:p w:rsidR="00360B31" w:rsidRPr="00C432DE" w:rsidRDefault="00360B31" w:rsidP="007C6461">
            <w:pPr>
              <w:rPr>
                <w:sz w:val="20"/>
                <w:szCs w:val="20"/>
              </w:rPr>
            </w:pPr>
            <w:r w:rsidRPr="00C432DE">
              <w:rPr>
                <w:sz w:val="20"/>
                <w:szCs w:val="20"/>
              </w:rPr>
              <w:t>Treed peatland</w:t>
            </w:r>
          </w:p>
        </w:tc>
        <w:tc>
          <w:tcPr>
            <w:tcW w:w="5670" w:type="dxa"/>
          </w:tcPr>
          <w:p w:rsidR="00360B31" w:rsidRPr="00C432DE" w:rsidRDefault="00360B31" w:rsidP="007C6461">
            <w:pPr>
              <w:rPr>
                <w:sz w:val="20"/>
                <w:szCs w:val="20"/>
              </w:rPr>
            </w:pPr>
            <w:r w:rsidRPr="00C432DE">
              <w:rPr>
                <w:sz w:val="20"/>
                <w:szCs w:val="20"/>
              </w:rPr>
              <w:t>Open black spruce fen, Close black spruce fen (average)</w:t>
            </w:r>
          </w:p>
        </w:tc>
        <w:tc>
          <w:tcPr>
            <w:tcW w:w="1246" w:type="dxa"/>
          </w:tcPr>
          <w:p w:rsidR="00360B31" w:rsidRPr="00C432DE" w:rsidRDefault="00360B31" w:rsidP="00C432DE">
            <w:pPr>
              <w:ind w:right="135"/>
              <w:jc w:val="right"/>
              <w:rPr>
                <w:sz w:val="20"/>
                <w:szCs w:val="20"/>
              </w:rPr>
            </w:pPr>
            <w:r w:rsidRPr="00C432DE">
              <w:rPr>
                <w:sz w:val="20"/>
                <w:szCs w:val="20"/>
              </w:rPr>
              <w:t>0.5</w:t>
            </w:r>
          </w:p>
        </w:tc>
      </w:tr>
      <w:tr w:rsidR="00360B31" w:rsidTr="007C6461">
        <w:tc>
          <w:tcPr>
            <w:tcW w:w="2660" w:type="dxa"/>
          </w:tcPr>
          <w:p w:rsidR="00360B31" w:rsidRPr="00C432DE" w:rsidRDefault="00360B31" w:rsidP="007C6461">
            <w:pPr>
              <w:rPr>
                <w:sz w:val="20"/>
                <w:szCs w:val="20"/>
              </w:rPr>
            </w:pPr>
            <w:r w:rsidRPr="00C432DE">
              <w:rPr>
                <w:sz w:val="20"/>
                <w:szCs w:val="20"/>
              </w:rPr>
              <w:t>Shrub peatland</w:t>
            </w:r>
          </w:p>
        </w:tc>
        <w:tc>
          <w:tcPr>
            <w:tcW w:w="5670" w:type="dxa"/>
          </w:tcPr>
          <w:p w:rsidR="00360B31" w:rsidRPr="00C432DE" w:rsidRDefault="00360B31" w:rsidP="007C6461">
            <w:pPr>
              <w:rPr>
                <w:sz w:val="20"/>
                <w:szCs w:val="20"/>
              </w:rPr>
            </w:pPr>
            <w:r w:rsidRPr="00C432DE">
              <w:rPr>
                <w:sz w:val="20"/>
                <w:szCs w:val="20"/>
              </w:rPr>
              <w:t>Open black spruce fen</w:t>
            </w:r>
          </w:p>
        </w:tc>
        <w:tc>
          <w:tcPr>
            <w:tcW w:w="1246" w:type="dxa"/>
          </w:tcPr>
          <w:p w:rsidR="00360B31" w:rsidRPr="00C432DE" w:rsidRDefault="00360B31" w:rsidP="00C432DE">
            <w:pPr>
              <w:ind w:right="135"/>
              <w:jc w:val="right"/>
              <w:rPr>
                <w:sz w:val="20"/>
                <w:szCs w:val="20"/>
              </w:rPr>
            </w:pPr>
            <w:r w:rsidRPr="00C432DE">
              <w:rPr>
                <w:sz w:val="20"/>
                <w:szCs w:val="20"/>
              </w:rPr>
              <w:t>0.6</w:t>
            </w:r>
          </w:p>
        </w:tc>
      </w:tr>
      <w:tr w:rsidR="00360B31" w:rsidTr="007C6461">
        <w:tc>
          <w:tcPr>
            <w:tcW w:w="2660" w:type="dxa"/>
          </w:tcPr>
          <w:p w:rsidR="00360B31" w:rsidRPr="00C432DE" w:rsidRDefault="00360B31" w:rsidP="007C6461">
            <w:pPr>
              <w:rPr>
                <w:sz w:val="20"/>
                <w:szCs w:val="20"/>
              </w:rPr>
            </w:pPr>
            <w:r w:rsidRPr="00C432DE">
              <w:rPr>
                <w:sz w:val="20"/>
                <w:szCs w:val="20"/>
              </w:rPr>
              <w:t>Herbaceous peatland</w:t>
            </w:r>
          </w:p>
        </w:tc>
        <w:tc>
          <w:tcPr>
            <w:tcW w:w="5670" w:type="dxa"/>
          </w:tcPr>
          <w:p w:rsidR="00360B31" w:rsidRPr="00C432DE" w:rsidRDefault="00360B31" w:rsidP="007C6461">
            <w:pPr>
              <w:rPr>
                <w:sz w:val="20"/>
                <w:szCs w:val="20"/>
              </w:rPr>
            </w:pPr>
            <w:r w:rsidRPr="00C432DE">
              <w:rPr>
                <w:sz w:val="20"/>
                <w:szCs w:val="20"/>
              </w:rPr>
              <w:t>Bog</w:t>
            </w:r>
          </w:p>
        </w:tc>
        <w:tc>
          <w:tcPr>
            <w:tcW w:w="1246" w:type="dxa"/>
          </w:tcPr>
          <w:p w:rsidR="00360B31" w:rsidRPr="00C432DE" w:rsidRDefault="00360B31" w:rsidP="00C432DE">
            <w:pPr>
              <w:ind w:right="135"/>
              <w:jc w:val="right"/>
              <w:rPr>
                <w:sz w:val="20"/>
                <w:szCs w:val="20"/>
              </w:rPr>
            </w:pPr>
            <w:r w:rsidRPr="00C432DE">
              <w:rPr>
                <w:sz w:val="20"/>
                <w:szCs w:val="20"/>
              </w:rPr>
              <w:t>0.2</w:t>
            </w:r>
          </w:p>
        </w:tc>
      </w:tr>
      <w:tr w:rsidR="00360B31" w:rsidTr="007C6461">
        <w:tc>
          <w:tcPr>
            <w:tcW w:w="2660" w:type="dxa"/>
          </w:tcPr>
          <w:p w:rsidR="00360B31" w:rsidRPr="00C432DE" w:rsidRDefault="00360B31" w:rsidP="007C6461">
            <w:pPr>
              <w:rPr>
                <w:sz w:val="20"/>
                <w:szCs w:val="20"/>
              </w:rPr>
            </w:pPr>
            <w:r w:rsidRPr="00C432DE">
              <w:rPr>
                <w:sz w:val="20"/>
                <w:szCs w:val="20"/>
              </w:rPr>
              <w:t>Barren</w:t>
            </w:r>
          </w:p>
        </w:tc>
        <w:tc>
          <w:tcPr>
            <w:tcW w:w="5670" w:type="dxa"/>
          </w:tcPr>
          <w:p w:rsidR="00360B31" w:rsidRPr="00C432DE" w:rsidRDefault="00360B31" w:rsidP="007C6461">
            <w:pPr>
              <w:rPr>
                <w:sz w:val="20"/>
                <w:szCs w:val="20"/>
              </w:rPr>
            </w:pPr>
            <w:r w:rsidRPr="00C432DE">
              <w:rPr>
                <w:sz w:val="20"/>
                <w:szCs w:val="20"/>
              </w:rPr>
              <w:t>Beach, dune</w:t>
            </w:r>
          </w:p>
        </w:tc>
        <w:tc>
          <w:tcPr>
            <w:tcW w:w="1246" w:type="dxa"/>
          </w:tcPr>
          <w:p w:rsidR="00360B31" w:rsidRPr="00C432DE" w:rsidRDefault="00360B31" w:rsidP="00C432DE">
            <w:pPr>
              <w:ind w:right="135"/>
              <w:jc w:val="right"/>
              <w:rPr>
                <w:sz w:val="20"/>
                <w:szCs w:val="20"/>
              </w:rPr>
            </w:pPr>
            <w:r w:rsidRPr="00C432DE">
              <w:rPr>
                <w:sz w:val="20"/>
                <w:szCs w:val="20"/>
              </w:rPr>
              <w:t>0</w:t>
            </w:r>
          </w:p>
        </w:tc>
      </w:tr>
      <w:tr w:rsidR="00360B31" w:rsidTr="007C6461">
        <w:tc>
          <w:tcPr>
            <w:tcW w:w="2660" w:type="dxa"/>
          </w:tcPr>
          <w:p w:rsidR="00360B31" w:rsidRPr="00C432DE" w:rsidRDefault="00360B31" w:rsidP="007C6461">
            <w:pPr>
              <w:rPr>
                <w:sz w:val="20"/>
                <w:szCs w:val="20"/>
              </w:rPr>
            </w:pPr>
            <w:r w:rsidRPr="00C432DE">
              <w:rPr>
                <w:sz w:val="20"/>
                <w:szCs w:val="20"/>
              </w:rPr>
              <w:t>Water</w:t>
            </w:r>
          </w:p>
        </w:tc>
        <w:tc>
          <w:tcPr>
            <w:tcW w:w="5670" w:type="dxa"/>
          </w:tcPr>
          <w:p w:rsidR="00360B31" w:rsidRPr="00C432DE" w:rsidRDefault="00360B31" w:rsidP="007C6461">
            <w:pPr>
              <w:rPr>
                <w:sz w:val="20"/>
                <w:szCs w:val="20"/>
              </w:rPr>
            </w:pPr>
            <w:r w:rsidRPr="00C432DE">
              <w:rPr>
                <w:sz w:val="20"/>
                <w:szCs w:val="20"/>
              </w:rPr>
              <w:t>Lotic, Lentic</w:t>
            </w:r>
          </w:p>
        </w:tc>
        <w:tc>
          <w:tcPr>
            <w:tcW w:w="1246" w:type="dxa"/>
          </w:tcPr>
          <w:p w:rsidR="00360B31" w:rsidRPr="00C432DE" w:rsidRDefault="00360B31" w:rsidP="00C432DE">
            <w:pPr>
              <w:ind w:right="135"/>
              <w:jc w:val="right"/>
              <w:rPr>
                <w:sz w:val="20"/>
                <w:szCs w:val="20"/>
              </w:rPr>
            </w:pPr>
            <w:r w:rsidRPr="00C432DE">
              <w:rPr>
                <w:sz w:val="20"/>
                <w:szCs w:val="20"/>
              </w:rPr>
              <w:t>0.2</w:t>
            </w:r>
          </w:p>
        </w:tc>
      </w:tr>
      <w:tr w:rsidR="00360B31" w:rsidTr="007C6461">
        <w:tc>
          <w:tcPr>
            <w:tcW w:w="2660" w:type="dxa"/>
          </w:tcPr>
          <w:p w:rsidR="00360B31" w:rsidRPr="00C432DE" w:rsidRDefault="00360B31" w:rsidP="007C6461">
            <w:pPr>
              <w:rPr>
                <w:sz w:val="20"/>
                <w:szCs w:val="20"/>
              </w:rPr>
            </w:pPr>
            <w:r w:rsidRPr="00C432DE">
              <w:rPr>
                <w:sz w:val="20"/>
                <w:szCs w:val="20"/>
              </w:rPr>
              <w:t>Annual cropland</w:t>
            </w:r>
          </w:p>
        </w:tc>
        <w:tc>
          <w:tcPr>
            <w:tcW w:w="5670" w:type="dxa"/>
          </w:tcPr>
          <w:p w:rsidR="00360B31" w:rsidRPr="00C432DE" w:rsidRDefault="00360B31" w:rsidP="007C6461">
            <w:pPr>
              <w:rPr>
                <w:sz w:val="20"/>
                <w:szCs w:val="20"/>
              </w:rPr>
            </w:pPr>
            <w:r w:rsidRPr="00C432DE">
              <w:rPr>
                <w:sz w:val="20"/>
                <w:szCs w:val="20"/>
              </w:rPr>
              <w:t>Cultivated crop</w:t>
            </w:r>
          </w:p>
        </w:tc>
        <w:tc>
          <w:tcPr>
            <w:tcW w:w="1246" w:type="dxa"/>
          </w:tcPr>
          <w:p w:rsidR="00360B31" w:rsidRPr="00C432DE" w:rsidRDefault="00360B31" w:rsidP="00C432DE">
            <w:pPr>
              <w:ind w:right="135"/>
              <w:jc w:val="right"/>
              <w:rPr>
                <w:sz w:val="20"/>
                <w:szCs w:val="20"/>
              </w:rPr>
            </w:pPr>
            <w:r w:rsidRPr="00C432DE">
              <w:rPr>
                <w:sz w:val="20"/>
                <w:szCs w:val="20"/>
              </w:rPr>
              <w:t>0</w:t>
            </w:r>
          </w:p>
        </w:tc>
      </w:tr>
      <w:tr w:rsidR="00360B31" w:rsidTr="007C6461">
        <w:tc>
          <w:tcPr>
            <w:tcW w:w="2660" w:type="dxa"/>
          </w:tcPr>
          <w:p w:rsidR="00360B31" w:rsidRPr="00C432DE" w:rsidRDefault="00360B31" w:rsidP="007C6461">
            <w:pPr>
              <w:rPr>
                <w:sz w:val="20"/>
                <w:szCs w:val="20"/>
              </w:rPr>
            </w:pPr>
            <w:r w:rsidRPr="00C432DE">
              <w:rPr>
                <w:sz w:val="20"/>
                <w:szCs w:val="20"/>
              </w:rPr>
              <w:t>Forage cropland</w:t>
            </w:r>
          </w:p>
        </w:tc>
        <w:tc>
          <w:tcPr>
            <w:tcW w:w="5670" w:type="dxa"/>
          </w:tcPr>
          <w:p w:rsidR="00360B31" w:rsidRPr="00C432DE" w:rsidRDefault="00360B31" w:rsidP="007C6461">
            <w:pPr>
              <w:rPr>
                <w:sz w:val="20"/>
                <w:szCs w:val="20"/>
              </w:rPr>
            </w:pPr>
            <w:r w:rsidRPr="00C432DE">
              <w:rPr>
                <w:sz w:val="20"/>
                <w:szCs w:val="20"/>
              </w:rPr>
              <w:t>Forage crop</w:t>
            </w:r>
          </w:p>
        </w:tc>
        <w:tc>
          <w:tcPr>
            <w:tcW w:w="1246" w:type="dxa"/>
          </w:tcPr>
          <w:p w:rsidR="00360B31" w:rsidRPr="00C432DE" w:rsidRDefault="00360B31" w:rsidP="00C432DE">
            <w:pPr>
              <w:ind w:right="135"/>
              <w:jc w:val="right"/>
              <w:rPr>
                <w:sz w:val="20"/>
                <w:szCs w:val="20"/>
              </w:rPr>
            </w:pPr>
            <w:r w:rsidRPr="00C432DE">
              <w:rPr>
                <w:sz w:val="20"/>
                <w:szCs w:val="20"/>
              </w:rPr>
              <w:t>0</w:t>
            </w:r>
          </w:p>
        </w:tc>
      </w:tr>
      <w:tr w:rsidR="00360B31" w:rsidTr="007C6461">
        <w:tc>
          <w:tcPr>
            <w:tcW w:w="2660" w:type="dxa"/>
          </w:tcPr>
          <w:p w:rsidR="00360B31" w:rsidRPr="00C432DE" w:rsidRDefault="00360B31" w:rsidP="007C6461">
            <w:pPr>
              <w:rPr>
                <w:sz w:val="20"/>
                <w:szCs w:val="20"/>
              </w:rPr>
            </w:pPr>
            <w:r w:rsidRPr="00C432DE">
              <w:rPr>
                <w:sz w:val="20"/>
                <w:szCs w:val="20"/>
              </w:rPr>
              <w:t>Road</w:t>
            </w:r>
          </w:p>
        </w:tc>
        <w:tc>
          <w:tcPr>
            <w:tcW w:w="5670" w:type="dxa"/>
          </w:tcPr>
          <w:p w:rsidR="00360B31" w:rsidRPr="00C432DE" w:rsidRDefault="00360B31" w:rsidP="007C6461">
            <w:pPr>
              <w:rPr>
                <w:sz w:val="20"/>
                <w:szCs w:val="20"/>
              </w:rPr>
            </w:pPr>
            <w:r w:rsidRPr="00C432DE">
              <w:rPr>
                <w:sz w:val="20"/>
                <w:szCs w:val="20"/>
              </w:rPr>
              <w:t>Minor road</w:t>
            </w:r>
          </w:p>
        </w:tc>
        <w:tc>
          <w:tcPr>
            <w:tcW w:w="1246" w:type="dxa"/>
          </w:tcPr>
          <w:p w:rsidR="00360B31" w:rsidRPr="00C432DE" w:rsidRDefault="00360B31" w:rsidP="00C432DE">
            <w:pPr>
              <w:ind w:right="135"/>
              <w:jc w:val="right"/>
              <w:rPr>
                <w:sz w:val="20"/>
                <w:szCs w:val="20"/>
              </w:rPr>
            </w:pPr>
            <w:r w:rsidRPr="00C432DE">
              <w:rPr>
                <w:sz w:val="20"/>
                <w:szCs w:val="20"/>
              </w:rPr>
              <w:t>0.4</w:t>
            </w:r>
          </w:p>
        </w:tc>
      </w:tr>
      <w:tr w:rsidR="00360B31" w:rsidTr="007C6461">
        <w:tc>
          <w:tcPr>
            <w:tcW w:w="2660" w:type="dxa"/>
          </w:tcPr>
          <w:p w:rsidR="00360B31" w:rsidRPr="00C432DE" w:rsidRDefault="00360B31" w:rsidP="007C6461">
            <w:pPr>
              <w:rPr>
                <w:sz w:val="20"/>
                <w:szCs w:val="20"/>
              </w:rPr>
            </w:pPr>
            <w:r w:rsidRPr="00C432DE">
              <w:rPr>
                <w:sz w:val="20"/>
                <w:szCs w:val="20"/>
              </w:rPr>
              <w:t>Inblock road</w:t>
            </w:r>
          </w:p>
        </w:tc>
        <w:tc>
          <w:tcPr>
            <w:tcW w:w="5670" w:type="dxa"/>
          </w:tcPr>
          <w:p w:rsidR="00360B31" w:rsidRPr="00C432DE" w:rsidRDefault="00360B31" w:rsidP="007C6461">
            <w:pPr>
              <w:rPr>
                <w:sz w:val="20"/>
                <w:szCs w:val="20"/>
              </w:rPr>
            </w:pPr>
            <w:r w:rsidRPr="00C432DE">
              <w:rPr>
                <w:sz w:val="20"/>
                <w:szCs w:val="20"/>
              </w:rPr>
              <w:t>Inblock road</w:t>
            </w:r>
          </w:p>
        </w:tc>
        <w:tc>
          <w:tcPr>
            <w:tcW w:w="1246" w:type="dxa"/>
          </w:tcPr>
          <w:p w:rsidR="00360B31" w:rsidRPr="00C432DE" w:rsidRDefault="00360B31" w:rsidP="00C432DE">
            <w:pPr>
              <w:ind w:right="135"/>
              <w:jc w:val="right"/>
              <w:rPr>
                <w:sz w:val="20"/>
                <w:szCs w:val="20"/>
              </w:rPr>
            </w:pPr>
            <w:r w:rsidRPr="00C432DE">
              <w:rPr>
                <w:sz w:val="20"/>
                <w:szCs w:val="20"/>
              </w:rPr>
              <w:t>0.6</w:t>
            </w:r>
          </w:p>
        </w:tc>
      </w:tr>
      <w:tr w:rsidR="00360B31" w:rsidTr="007C6461">
        <w:tc>
          <w:tcPr>
            <w:tcW w:w="2660" w:type="dxa"/>
          </w:tcPr>
          <w:p w:rsidR="00360B31" w:rsidRPr="00C432DE" w:rsidRDefault="00360B31" w:rsidP="007C6461">
            <w:pPr>
              <w:rPr>
                <w:sz w:val="20"/>
                <w:szCs w:val="20"/>
              </w:rPr>
            </w:pPr>
            <w:r w:rsidRPr="00C432DE">
              <w:rPr>
                <w:sz w:val="20"/>
                <w:szCs w:val="20"/>
              </w:rPr>
              <w:t>Transmission line</w:t>
            </w:r>
          </w:p>
        </w:tc>
        <w:tc>
          <w:tcPr>
            <w:tcW w:w="5670" w:type="dxa"/>
          </w:tcPr>
          <w:p w:rsidR="00360B31" w:rsidRPr="00C432DE" w:rsidRDefault="00360B31" w:rsidP="007C6461">
            <w:pPr>
              <w:rPr>
                <w:sz w:val="20"/>
                <w:szCs w:val="20"/>
              </w:rPr>
            </w:pPr>
            <w:r w:rsidRPr="00C432DE">
              <w:rPr>
                <w:sz w:val="20"/>
                <w:szCs w:val="20"/>
              </w:rPr>
              <w:t>Transmission line</w:t>
            </w:r>
          </w:p>
        </w:tc>
        <w:tc>
          <w:tcPr>
            <w:tcW w:w="1246" w:type="dxa"/>
          </w:tcPr>
          <w:p w:rsidR="00360B31" w:rsidRPr="00C432DE" w:rsidRDefault="00360B31" w:rsidP="00C432DE">
            <w:pPr>
              <w:ind w:right="135"/>
              <w:jc w:val="right"/>
              <w:rPr>
                <w:sz w:val="20"/>
                <w:szCs w:val="20"/>
              </w:rPr>
            </w:pPr>
            <w:r w:rsidRPr="00C432DE">
              <w:rPr>
                <w:sz w:val="20"/>
                <w:szCs w:val="20"/>
              </w:rPr>
              <w:t>0.5</w:t>
            </w:r>
          </w:p>
        </w:tc>
      </w:tr>
      <w:tr w:rsidR="00360B31" w:rsidTr="007C6461">
        <w:tc>
          <w:tcPr>
            <w:tcW w:w="2660" w:type="dxa"/>
          </w:tcPr>
          <w:p w:rsidR="00360B31" w:rsidRPr="00C432DE" w:rsidRDefault="00360B31" w:rsidP="007C6461">
            <w:pPr>
              <w:rPr>
                <w:sz w:val="20"/>
                <w:szCs w:val="20"/>
              </w:rPr>
            </w:pPr>
            <w:r w:rsidRPr="00C432DE">
              <w:rPr>
                <w:sz w:val="20"/>
                <w:szCs w:val="20"/>
              </w:rPr>
              <w:t>Seismic line</w:t>
            </w:r>
          </w:p>
        </w:tc>
        <w:tc>
          <w:tcPr>
            <w:tcW w:w="5670" w:type="dxa"/>
          </w:tcPr>
          <w:p w:rsidR="00360B31" w:rsidRPr="00C432DE" w:rsidRDefault="00360B31" w:rsidP="007C6461">
            <w:pPr>
              <w:rPr>
                <w:sz w:val="20"/>
                <w:szCs w:val="20"/>
              </w:rPr>
            </w:pPr>
            <w:r w:rsidRPr="00C432DE">
              <w:rPr>
                <w:sz w:val="20"/>
                <w:szCs w:val="20"/>
              </w:rPr>
              <w:t>Seismic line</w:t>
            </w:r>
          </w:p>
        </w:tc>
        <w:tc>
          <w:tcPr>
            <w:tcW w:w="1246" w:type="dxa"/>
          </w:tcPr>
          <w:p w:rsidR="00360B31" w:rsidRPr="00C432DE" w:rsidRDefault="00360B31" w:rsidP="00C432DE">
            <w:pPr>
              <w:ind w:right="135"/>
              <w:jc w:val="right"/>
              <w:rPr>
                <w:sz w:val="20"/>
                <w:szCs w:val="20"/>
              </w:rPr>
            </w:pPr>
            <w:r w:rsidRPr="00C432DE">
              <w:rPr>
                <w:sz w:val="20"/>
                <w:szCs w:val="20"/>
              </w:rPr>
              <w:t>0.6</w:t>
            </w:r>
          </w:p>
        </w:tc>
      </w:tr>
      <w:tr w:rsidR="00360B31" w:rsidTr="007C6461">
        <w:tc>
          <w:tcPr>
            <w:tcW w:w="2660" w:type="dxa"/>
          </w:tcPr>
          <w:p w:rsidR="00360B31" w:rsidRPr="00C432DE" w:rsidRDefault="00360B31" w:rsidP="007C6461">
            <w:pPr>
              <w:rPr>
                <w:sz w:val="20"/>
                <w:szCs w:val="20"/>
              </w:rPr>
            </w:pPr>
            <w:r w:rsidRPr="00C432DE">
              <w:rPr>
                <w:sz w:val="20"/>
                <w:szCs w:val="20"/>
              </w:rPr>
              <w:t>Wellsite</w:t>
            </w:r>
          </w:p>
        </w:tc>
        <w:tc>
          <w:tcPr>
            <w:tcW w:w="5670" w:type="dxa"/>
          </w:tcPr>
          <w:p w:rsidR="00360B31" w:rsidRPr="00C432DE" w:rsidRDefault="00360B31" w:rsidP="007C6461">
            <w:pPr>
              <w:rPr>
                <w:sz w:val="20"/>
                <w:szCs w:val="20"/>
              </w:rPr>
            </w:pPr>
            <w:r w:rsidRPr="00C432DE">
              <w:rPr>
                <w:sz w:val="20"/>
                <w:szCs w:val="20"/>
              </w:rPr>
              <w:t>Wellsite</w:t>
            </w:r>
          </w:p>
        </w:tc>
        <w:tc>
          <w:tcPr>
            <w:tcW w:w="1246" w:type="dxa"/>
          </w:tcPr>
          <w:p w:rsidR="00360B31" w:rsidRPr="00C432DE" w:rsidRDefault="00360B31" w:rsidP="00C432DE">
            <w:pPr>
              <w:ind w:right="135"/>
              <w:jc w:val="right"/>
              <w:rPr>
                <w:sz w:val="20"/>
                <w:szCs w:val="20"/>
              </w:rPr>
            </w:pPr>
            <w:r w:rsidRPr="00C432DE">
              <w:rPr>
                <w:sz w:val="20"/>
                <w:szCs w:val="20"/>
              </w:rPr>
              <w:t>0.1</w:t>
            </w:r>
          </w:p>
        </w:tc>
      </w:tr>
    </w:tbl>
    <w:p w:rsidR="00360B31" w:rsidRDefault="00360B31" w:rsidP="00360B31"/>
    <w:p w:rsidR="00360B31" w:rsidRDefault="00360B31" w:rsidP="00360B31">
      <w:pPr>
        <w:pStyle w:val="Caption"/>
        <w:keepNext/>
      </w:pPr>
      <w:bookmarkStart w:id="271" w:name="_Ref326261823"/>
      <w:bookmarkStart w:id="272" w:name="_Toc301950410"/>
      <w:bookmarkStart w:id="273" w:name="_Toc338703769"/>
      <w:proofErr w:type="gramStart"/>
      <w:r>
        <w:t xml:space="preserve">Table </w:t>
      </w:r>
      <w:r w:rsidR="00575CA7">
        <w:fldChar w:fldCharType="begin"/>
      </w:r>
      <w:r w:rsidR="00D75024">
        <w:instrText xml:space="preserve"> SEQ Table \* ARABIC </w:instrText>
      </w:r>
      <w:r w:rsidR="00575CA7">
        <w:fldChar w:fldCharType="separate"/>
      </w:r>
      <w:r w:rsidR="002B4C72">
        <w:rPr>
          <w:noProof/>
        </w:rPr>
        <w:t>5</w:t>
      </w:r>
      <w:r w:rsidR="00575CA7">
        <w:fldChar w:fldCharType="end"/>
      </w:r>
      <w:bookmarkEnd w:id="271"/>
      <w:r>
        <w:t>.</w:t>
      </w:r>
      <w:proofErr w:type="gramEnd"/>
      <w:r>
        <w:t xml:space="preserve"> The width of buffers placed around industrial footprints, and percent use of habitat within the buffers.  High (i.e., protection) and moderate (i.e., best practices) access management strategies are implemented by multiplying buffer width by 0 and 0.15, respectively.</w:t>
      </w:r>
      <w:bookmarkEnd w:id="272"/>
      <w:bookmarkEnd w:id="273"/>
    </w:p>
    <w:tbl>
      <w:tblPr>
        <w:tblStyle w:val="TableGrid"/>
        <w:tblW w:w="0" w:type="auto"/>
        <w:tblLook w:val="04A0"/>
      </w:tblPr>
      <w:tblGrid>
        <w:gridCol w:w="3423"/>
        <w:gridCol w:w="3003"/>
        <w:gridCol w:w="2790"/>
      </w:tblGrid>
      <w:tr w:rsidR="00360B31" w:rsidTr="007C6461">
        <w:tc>
          <w:tcPr>
            <w:tcW w:w="3532" w:type="dxa"/>
          </w:tcPr>
          <w:p w:rsidR="00360B31" w:rsidRPr="00C432DE" w:rsidRDefault="00360B31" w:rsidP="007C6461">
            <w:pPr>
              <w:rPr>
                <w:sz w:val="20"/>
              </w:rPr>
            </w:pPr>
            <w:r w:rsidRPr="00C432DE">
              <w:rPr>
                <w:sz w:val="20"/>
              </w:rPr>
              <w:t>Footprint type</w:t>
            </w:r>
          </w:p>
        </w:tc>
        <w:tc>
          <w:tcPr>
            <w:tcW w:w="3135" w:type="dxa"/>
          </w:tcPr>
          <w:p w:rsidR="00360B31" w:rsidRPr="00C432DE" w:rsidRDefault="00360B31" w:rsidP="007C6461">
            <w:pPr>
              <w:rPr>
                <w:sz w:val="20"/>
              </w:rPr>
            </w:pPr>
            <w:r w:rsidRPr="00C432DE">
              <w:rPr>
                <w:sz w:val="20"/>
              </w:rPr>
              <w:t>Buffer width (m)</w:t>
            </w:r>
          </w:p>
        </w:tc>
        <w:tc>
          <w:tcPr>
            <w:tcW w:w="2909" w:type="dxa"/>
          </w:tcPr>
          <w:p w:rsidR="00360B31" w:rsidRPr="00C432DE" w:rsidRDefault="00360B31" w:rsidP="007C6461">
            <w:pPr>
              <w:rPr>
                <w:sz w:val="20"/>
              </w:rPr>
            </w:pPr>
            <w:r w:rsidRPr="00C432DE">
              <w:rPr>
                <w:sz w:val="20"/>
              </w:rPr>
              <w:t>Buffer use</w:t>
            </w:r>
          </w:p>
        </w:tc>
      </w:tr>
      <w:tr w:rsidR="00360B31" w:rsidTr="007C6461">
        <w:tc>
          <w:tcPr>
            <w:tcW w:w="3532" w:type="dxa"/>
          </w:tcPr>
          <w:p w:rsidR="00360B31" w:rsidRPr="00C432DE" w:rsidRDefault="00360B31" w:rsidP="007C6461">
            <w:pPr>
              <w:rPr>
                <w:sz w:val="20"/>
              </w:rPr>
            </w:pPr>
            <w:r w:rsidRPr="00C432DE">
              <w:rPr>
                <w:sz w:val="20"/>
              </w:rPr>
              <w:t>Road and rail</w:t>
            </w:r>
          </w:p>
        </w:tc>
        <w:tc>
          <w:tcPr>
            <w:tcW w:w="3135" w:type="dxa"/>
          </w:tcPr>
          <w:p w:rsidR="00360B31" w:rsidRPr="00C432DE" w:rsidRDefault="00360B31" w:rsidP="007C6461">
            <w:pPr>
              <w:rPr>
                <w:sz w:val="20"/>
              </w:rPr>
            </w:pPr>
            <w:r w:rsidRPr="00C432DE">
              <w:rPr>
                <w:sz w:val="20"/>
              </w:rPr>
              <w:t>100</w:t>
            </w:r>
          </w:p>
        </w:tc>
        <w:tc>
          <w:tcPr>
            <w:tcW w:w="2909" w:type="dxa"/>
          </w:tcPr>
          <w:p w:rsidR="00360B31" w:rsidRPr="00C432DE" w:rsidRDefault="00360B31" w:rsidP="007C6461">
            <w:pPr>
              <w:rPr>
                <w:sz w:val="20"/>
              </w:rPr>
            </w:pPr>
            <w:r w:rsidRPr="00C432DE">
              <w:rPr>
                <w:sz w:val="20"/>
              </w:rPr>
              <w:t>0.25</w:t>
            </w:r>
          </w:p>
        </w:tc>
      </w:tr>
      <w:tr w:rsidR="00360B31" w:rsidTr="007C6461">
        <w:tc>
          <w:tcPr>
            <w:tcW w:w="3532" w:type="dxa"/>
          </w:tcPr>
          <w:p w:rsidR="00360B31" w:rsidRPr="00C432DE" w:rsidRDefault="00360B31" w:rsidP="007C6461">
            <w:pPr>
              <w:rPr>
                <w:sz w:val="20"/>
              </w:rPr>
            </w:pPr>
            <w:r w:rsidRPr="00C432DE">
              <w:rPr>
                <w:sz w:val="20"/>
              </w:rPr>
              <w:t>Inblock road</w:t>
            </w:r>
          </w:p>
        </w:tc>
        <w:tc>
          <w:tcPr>
            <w:tcW w:w="3135" w:type="dxa"/>
          </w:tcPr>
          <w:p w:rsidR="00360B31" w:rsidRPr="00C432DE" w:rsidRDefault="00360B31" w:rsidP="007C6461">
            <w:pPr>
              <w:rPr>
                <w:sz w:val="20"/>
              </w:rPr>
            </w:pPr>
            <w:r w:rsidRPr="00C432DE">
              <w:rPr>
                <w:sz w:val="20"/>
              </w:rPr>
              <w:t>50</w:t>
            </w:r>
          </w:p>
        </w:tc>
        <w:tc>
          <w:tcPr>
            <w:tcW w:w="2909" w:type="dxa"/>
          </w:tcPr>
          <w:p w:rsidR="00360B31" w:rsidRPr="00C432DE" w:rsidRDefault="00360B31" w:rsidP="007C6461">
            <w:pPr>
              <w:rPr>
                <w:sz w:val="20"/>
              </w:rPr>
            </w:pPr>
            <w:r w:rsidRPr="00C432DE">
              <w:rPr>
                <w:sz w:val="20"/>
              </w:rPr>
              <w:t>0.9</w:t>
            </w:r>
          </w:p>
        </w:tc>
      </w:tr>
      <w:tr w:rsidR="00360B31" w:rsidTr="007C6461">
        <w:tc>
          <w:tcPr>
            <w:tcW w:w="3532" w:type="dxa"/>
          </w:tcPr>
          <w:p w:rsidR="00360B31" w:rsidRPr="00C432DE" w:rsidRDefault="00360B31" w:rsidP="007C6461">
            <w:pPr>
              <w:rPr>
                <w:sz w:val="20"/>
              </w:rPr>
            </w:pPr>
            <w:r w:rsidRPr="00C432DE">
              <w:rPr>
                <w:sz w:val="20"/>
              </w:rPr>
              <w:t>Transmission corridor</w:t>
            </w:r>
          </w:p>
        </w:tc>
        <w:tc>
          <w:tcPr>
            <w:tcW w:w="3135" w:type="dxa"/>
          </w:tcPr>
          <w:p w:rsidR="00360B31" w:rsidRPr="00C432DE" w:rsidRDefault="00360B31" w:rsidP="007C6461">
            <w:pPr>
              <w:rPr>
                <w:sz w:val="20"/>
              </w:rPr>
            </w:pPr>
            <w:r w:rsidRPr="00C432DE">
              <w:rPr>
                <w:sz w:val="20"/>
              </w:rPr>
              <w:t>100</w:t>
            </w:r>
          </w:p>
        </w:tc>
        <w:tc>
          <w:tcPr>
            <w:tcW w:w="2909" w:type="dxa"/>
          </w:tcPr>
          <w:p w:rsidR="00360B31" w:rsidRPr="00C432DE" w:rsidRDefault="00360B31" w:rsidP="007C6461">
            <w:pPr>
              <w:rPr>
                <w:sz w:val="20"/>
              </w:rPr>
            </w:pPr>
            <w:r w:rsidRPr="00C432DE">
              <w:rPr>
                <w:sz w:val="20"/>
              </w:rPr>
              <w:t>0.5</w:t>
            </w:r>
          </w:p>
        </w:tc>
      </w:tr>
      <w:tr w:rsidR="00360B31" w:rsidTr="007C6461">
        <w:tc>
          <w:tcPr>
            <w:tcW w:w="3532" w:type="dxa"/>
          </w:tcPr>
          <w:p w:rsidR="00360B31" w:rsidRPr="00C432DE" w:rsidRDefault="00360B31" w:rsidP="007C6461">
            <w:pPr>
              <w:rPr>
                <w:sz w:val="20"/>
              </w:rPr>
            </w:pPr>
            <w:r w:rsidRPr="00C432DE">
              <w:rPr>
                <w:sz w:val="20"/>
              </w:rPr>
              <w:t>Pipeline</w:t>
            </w:r>
          </w:p>
        </w:tc>
        <w:tc>
          <w:tcPr>
            <w:tcW w:w="3135" w:type="dxa"/>
          </w:tcPr>
          <w:p w:rsidR="00360B31" w:rsidRPr="00C432DE" w:rsidRDefault="00360B31" w:rsidP="007C6461">
            <w:pPr>
              <w:rPr>
                <w:sz w:val="20"/>
              </w:rPr>
            </w:pPr>
            <w:r w:rsidRPr="00C432DE">
              <w:rPr>
                <w:sz w:val="20"/>
              </w:rPr>
              <w:t>100</w:t>
            </w:r>
          </w:p>
        </w:tc>
        <w:tc>
          <w:tcPr>
            <w:tcW w:w="2909" w:type="dxa"/>
          </w:tcPr>
          <w:p w:rsidR="00360B31" w:rsidRPr="00C432DE" w:rsidRDefault="00360B31" w:rsidP="007C6461">
            <w:pPr>
              <w:rPr>
                <w:sz w:val="20"/>
              </w:rPr>
            </w:pPr>
            <w:r w:rsidRPr="00C432DE">
              <w:rPr>
                <w:sz w:val="20"/>
              </w:rPr>
              <w:t>0.5</w:t>
            </w:r>
          </w:p>
        </w:tc>
      </w:tr>
      <w:tr w:rsidR="00360B31" w:rsidTr="007C6461">
        <w:tc>
          <w:tcPr>
            <w:tcW w:w="3532" w:type="dxa"/>
          </w:tcPr>
          <w:p w:rsidR="00360B31" w:rsidRPr="00C432DE" w:rsidRDefault="00360B31" w:rsidP="007C6461">
            <w:pPr>
              <w:rPr>
                <w:sz w:val="20"/>
              </w:rPr>
            </w:pPr>
            <w:r w:rsidRPr="00C432DE">
              <w:rPr>
                <w:sz w:val="20"/>
              </w:rPr>
              <w:t>Seismic</w:t>
            </w:r>
          </w:p>
        </w:tc>
        <w:tc>
          <w:tcPr>
            <w:tcW w:w="3135" w:type="dxa"/>
          </w:tcPr>
          <w:p w:rsidR="00360B31" w:rsidRPr="00C432DE" w:rsidRDefault="00360B31" w:rsidP="007C6461">
            <w:pPr>
              <w:rPr>
                <w:sz w:val="20"/>
              </w:rPr>
            </w:pPr>
            <w:r w:rsidRPr="00C432DE">
              <w:rPr>
                <w:sz w:val="20"/>
              </w:rPr>
              <w:t>200</w:t>
            </w:r>
          </w:p>
        </w:tc>
        <w:tc>
          <w:tcPr>
            <w:tcW w:w="2909" w:type="dxa"/>
          </w:tcPr>
          <w:p w:rsidR="00360B31" w:rsidRPr="00C432DE" w:rsidRDefault="00360B31" w:rsidP="007C6461">
            <w:pPr>
              <w:rPr>
                <w:sz w:val="20"/>
              </w:rPr>
            </w:pPr>
            <w:r w:rsidRPr="00C432DE">
              <w:rPr>
                <w:sz w:val="20"/>
              </w:rPr>
              <w:t>0.5</w:t>
            </w:r>
          </w:p>
        </w:tc>
      </w:tr>
      <w:tr w:rsidR="00360B31" w:rsidTr="007C6461">
        <w:tc>
          <w:tcPr>
            <w:tcW w:w="3532" w:type="dxa"/>
          </w:tcPr>
          <w:p w:rsidR="00360B31" w:rsidRPr="00C432DE" w:rsidRDefault="00360B31" w:rsidP="007C6461">
            <w:pPr>
              <w:rPr>
                <w:sz w:val="20"/>
              </w:rPr>
            </w:pPr>
            <w:r w:rsidRPr="00C432DE">
              <w:rPr>
                <w:sz w:val="20"/>
              </w:rPr>
              <w:t>Wellsite</w:t>
            </w:r>
          </w:p>
        </w:tc>
        <w:tc>
          <w:tcPr>
            <w:tcW w:w="3135" w:type="dxa"/>
          </w:tcPr>
          <w:p w:rsidR="00360B31" w:rsidRPr="00C432DE" w:rsidRDefault="00360B31" w:rsidP="007C6461">
            <w:pPr>
              <w:rPr>
                <w:sz w:val="20"/>
              </w:rPr>
            </w:pPr>
            <w:r w:rsidRPr="00C432DE">
              <w:rPr>
                <w:sz w:val="20"/>
              </w:rPr>
              <w:t>100</w:t>
            </w:r>
          </w:p>
        </w:tc>
        <w:tc>
          <w:tcPr>
            <w:tcW w:w="2909" w:type="dxa"/>
          </w:tcPr>
          <w:p w:rsidR="00360B31" w:rsidRPr="00C432DE" w:rsidRDefault="00360B31" w:rsidP="007C6461">
            <w:pPr>
              <w:rPr>
                <w:sz w:val="20"/>
              </w:rPr>
            </w:pPr>
            <w:r w:rsidRPr="00C432DE">
              <w:rPr>
                <w:sz w:val="20"/>
              </w:rPr>
              <w:t>0.5</w:t>
            </w:r>
          </w:p>
        </w:tc>
      </w:tr>
      <w:tr w:rsidR="00360B31" w:rsidTr="007C6461">
        <w:tc>
          <w:tcPr>
            <w:tcW w:w="3532" w:type="dxa"/>
          </w:tcPr>
          <w:p w:rsidR="00360B31" w:rsidRPr="00C432DE" w:rsidRDefault="00360B31" w:rsidP="007C6461">
            <w:pPr>
              <w:rPr>
                <w:sz w:val="20"/>
              </w:rPr>
            </w:pPr>
            <w:r w:rsidRPr="00C432DE">
              <w:rPr>
                <w:sz w:val="20"/>
              </w:rPr>
              <w:t>Industrial plant</w:t>
            </w:r>
          </w:p>
        </w:tc>
        <w:tc>
          <w:tcPr>
            <w:tcW w:w="3135" w:type="dxa"/>
          </w:tcPr>
          <w:p w:rsidR="00360B31" w:rsidRPr="00C432DE" w:rsidRDefault="00360B31" w:rsidP="007C6461">
            <w:pPr>
              <w:rPr>
                <w:sz w:val="20"/>
              </w:rPr>
            </w:pPr>
            <w:r w:rsidRPr="00C432DE">
              <w:rPr>
                <w:sz w:val="20"/>
              </w:rPr>
              <w:t>200</w:t>
            </w:r>
          </w:p>
        </w:tc>
        <w:tc>
          <w:tcPr>
            <w:tcW w:w="2909" w:type="dxa"/>
          </w:tcPr>
          <w:p w:rsidR="00360B31" w:rsidRPr="00C432DE" w:rsidRDefault="00360B31" w:rsidP="007C6461">
            <w:pPr>
              <w:rPr>
                <w:sz w:val="20"/>
              </w:rPr>
            </w:pPr>
            <w:r w:rsidRPr="00C432DE">
              <w:rPr>
                <w:sz w:val="20"/>
              </w:rPr>
              <w:t>0.25</w:t>
            </w:r>
          </w:p>
        </w:tc>
      </w:tr>
      <w:tr w:rsidR="00360B31" w:rsidTr="007C6461">
        <w:tc>
          <w:tcPr>
            <w:tcW w:w="3532" w:type="dxa"/>
          </w:tcPr>
          <w:p w:rsidR="00360B31" w:rsidRPr="00C432DE" w:rsidRDefault="00360B31" w:rsidP="007C6461">
            <w:pPr>
              <w:rPr>
                <w:sz w:val="20"/>
              </w:rPr>
            </w:pPr>
            <w:r w:rsidRPr="00C432DE">
              <w:rPr>
                <w:sz w:val="20"/>
              </w:rPr>
              <w:t>Oilsands mine</w:t>
            </w:r>
          </w:p>
        </w:tc>
        <w:tc>
          <w:tcPr>
            <w:tcW w:w="3135" w:type="dxa"/>
          </w:tcPr>
          <w:p w:rsidR="00360B31" w:rsidRPr="00C432DE" w:rsidRDefault="00360B31" w:rsidP="007C6461">
            <w:pPr>
              <w:rPr>
                <w:sz w:val="20"/>
              </w:rPr>
            </w:pPr>
            <w:r w:rsidRPr="00C432DE">
              <w:rPr>
                <w:sz w:val="20"/>
              </w:rPr>
              <w:t>200</w:t>
            </w:r>
          </w:p>
        </w:tc>
        <w:tc>
          <w:tcPr>
            <w:tcW w:w="2909" w:type="dxa"/>
          </w:tcPr>
          <w:p w:rsidR="00360B31" w:rsidRPr="00C432DE" w:rsidRDefault="00360B31" w:rsidP="007C6461">
            <w:pPr>
              <w:rPr>
                <w:sz w:val="20"/>
              </w:rPr>
            </w:pPr>
            <w:r w:rsidRPr="00C432DE">
              <w:rPr>
                <w:sz w:val="20"/>
              </w:rPr>
              <w:t>0.25</w:t>
            </w:r>
          </w:p>
        </w:tc>
      </w:tr>
      <w:tr w:rsidR="00360B31" w:rsidTr="007C6461">
        <w:tc>
          <w:tcPr>
            <w:tcW w:w="3532" w:type="dxa"/>
          </w:tcPr>
          <w:p w:rsidR="00360B31" w:rsidRPr="00C432DE" w:rsidRDefault="00360B31" w:rsidP="007C6461">
            <w:pPr>
              <w:rPr>
                <w:sz w:val="20"/>
              </w:rPr>
            </w:pPr>
            <w:r w:rsidRPr="00C432DE">
              <w:rPr>
                <w:sz w:val="20"/>
              </w:rPr>
              <w:t>Gravel pits</w:t>
            </w:r>
          </w:p>
        </w:tc>
        <w:tc>
          <w:tcPr>
            <w:tcW w:w="3135" w:type="dxa"/>
          </w:tcPr>
          <w:p w:rsidR="00360B31" w:rsidRPr="00C432DE" w:rsidRDefault="00360B31" w:rsidP="007C6461">
            <w:pPr>
              <w:rPr>
                <w:sz w:val="20"/>
              </w:rPr>
            </w:pPr>
            <w:r w:rsidRPr="00C432DE">
              <w:rPr>
                <w:sz w:val="20"/>
              </w:rPr>
              <w:t>200</w:t>
            </w:r>
          </w:p>
        </w:tc>
        <w:tc>
          <w:tcPr>
            <w:tcW w:w="2909" w:type="dxa"/>
          </w:tcPr>
          <w:p w:rsidR="00360B31" w:rsidRPr="00C432DE" w:rsidRDefault="00360B31" w:rsidP="007C6461">
            <w:pPr>
              <w:rPr>
                <w:sz w:val="20"/>
              </w:rPr>
            </w:pPr>
            <w:r w:rsidRPr="00C432DE">
              <w:rPr>
                <w:sz w:val="20"/>
              </w:rPr>
              <w:t>0.25</w:t>
            </w:r>
          </w:p>
        </w:tc>
      </w:tr>
      <w:tr w:rsidR="00360B31" w:rsidTr="007C6461">
        <w:tc>
          <w:tcPr>
            <w:tcW w:w="3532" w:type="dxa"/>
          </w:tcPr>
          <w:p w:rsidR="00360B31" w:rsidRPr="00C432DE" w:rsidRDefault="00360B31" w:rsidP="007C6461">
            <w:pPr>
              <w:rPr>
                <w:sz w:val="20"/>
              </w:rPr>
            </w:pPr>
            <w:r w:rsidRPr="00C432DE">
              <w:rPr>
                <w:sz w:val="20"/>
              </w:rPr>
              <w:t>Settlements</w:t>
            </w:r>
          </w:p>
        </w:tc>
        <w:tc>
          <w:tcPr>
            <w:tcW w:w="3135" w:type="dxa"/>
          </w:tcPr>
          <w:p w:rsidR="00360B31" w:rsidRPr="00C432DE" w:rsidRDefault="00360B31" w:rsidP="007C6461">
            <w:pPr>
              <w:rPr>
                <w:sz w:val="20"/>
              </w:rPr>
            </w:pPr>
            <w:r w:rsidRPr="00C432DE">
              <w:rPr>
                <w:sz w:val="20"/>
              </w:rPr>
              <w:t>500</w:t>
            </w:r>
          </w:p>
        </w:tc>
        <w:tc>
          <w:tcPr>
            <w:tcW w:w="2909" w:type="dxa"/>
          </w:tcPr>
          <w:p w:rsidR="00360B31" w:rsidRPr="00C432DE" w:rsidRDefault="00360B31" w:rsidP="007C6461">
            <w:pPr>
              <w:rPr>
                <w:sz w:val="20"/>
              </w:rPr>
            </w:pPr>
            <w:r w:rsidRPr="00C432DE">
              <w:rPr>
                <w:sz w:val="20"/>
              </w:rPr>
              <w:t>0.5</w:t>
            </w:r>
          </w:p>
        </w:tc>
      </w:tr>
      <w:tr w:rsidR="00360B31" w:rsidTr="007C6461">
        <w:tc>
          <w:tcPr>
            <w:tcW w:w="3532" w:type="dxa"/>
          </w:tcPr>
          <w:p w:rsidR="00360B31" w:rsidRPr="00C432DE" w:rsidRDefault="00360B31" w:rsidP="007C6461">
            <w:pPr>
              <w:rPr>
                <w:sz w:val="20"/>
              </w:rPr>
            </w:pPr>
            <w:r w:rsidRPr="00C432DE">
              <w:rPr>
                <w:sz w:val="20"/>
              </w:rPr>
              <w:t>Rural residential/camp</w:t>
            </w:r>
          </w:p>
        </w:tc>
        <w:tc>
          <w:tcPr>
            <w:tcW w:w="3135" w:type="dxa"/>
          </w:tcPr>
          <w:p w:rsidR="00360B31" w:rsidRPr="00C432DE" w:rsidRDefault="00360B31" w:rsidP="007C6461">
            <w:pPr>
              <w:rPr>
                <w:sz w:val="20"/>
              </w:rPr>
            </w:pPr>
            <w:r w:rsidRPr="00C432DE">
              <w:rPr>
                <w:sz w:val="20"/>
              </w:rPr>
              <w:t>500</w:t>
            </w:r>
          </w:p>
        </w:tc>
        <w:tc>
          <w:tcPr>
            <w:tcW w:w="2909" w:type="dxa"/>
          </w:tcPr>
          <w:p w:rsidR="00360B31" w:rsidRPr="00C432DE" w:rsidRDefault="00360B31" w:rsidP="007C6461">
            <w:pPr>
              <w:rPr>
                <w:sz w:val="20"/>
              </w:rPr>
            </w:pPr>
            <w:r w:rsidRPr="00C432DE">
              <w:rPr>
                <w:sz w:val="20"/>
              </w:rPr>
              <w:t>0.5</w:t>
            </w:r>
          </w:p>
        </w:tc>
      </w:tr>
    </w:tbl>
    <w:p w:rsidR="00360B31" w:rsidRDefault="00360B31" w:rsidP="00360B31"/>
    <w:p w:rsidR="00360B31" w:rsidRDefault="00360B31" w:rsidP="00360B31">
      <w:pPr>
        <w:pStyle w:val="Caption"/>
        <w:keepNext/>
      </w:pPr>
      <w:bookmarkStart w:id="274" w:name="_Ref326261891"/>
      <w:bookmarkStart w:id="275" w:name="_Toc301950411"/>
      <w:bookmarkStart w:id="276" w:name="_Toc338703770"/>
      <w:proofErr w:type="gramStart"/>
      <w:r>
        <w:t xml:space="preserve">Table </w:t>
      </w:r>
      <w:r w:rsidR="00575CA7">
        <w:fldChar w:fldCharType="begin"/>
      </w:r>
      <w:r w:rsidR="00D75024">
        <w:instrText xml:space="preserve"> SEQ Table \* ARABIC </w:instrText>
      </w:r>
      <w:r w:rsidR="00575CA7">
        <w:fldChar w:fldCharType="separate"/>
      </w:r>
      <w:r w:rsidR="002B4C72">
        <w:rPr>
          <w:noProof/>
        </w:rPr>
        <w:t>6</w:t>
      </w:r>
      <w:r w:rsidR="00575CA7">
        <w:fldChar w:fldCharType="end"/>
      </w:r>
      <w:bookmarkEnd w:id="274"/>
      <w:r>
        <w:t>.</w:t>
      </w:r>
      <w:proofErr w:type="gramEnd"/>
      <w:r>
        <w:t xml:space="preserve">  </w:t>
      </w:r>
      <w:proofErr w:type="gramStart"/>
      <w:r>
        <w:t>Habitat quality by age class for moose.</w:t>
      </w:r>
      <w:bookmarkEnd w:id="275"/>
      <w:bookmarkEnd w:id="276"/>
      <w:proofErr w:type="gramEnd"/>
    </w:p>
    <w:tbl>
      <w:tblPr>
        <w:tblStyle w:val="TableGrid"/>
        <w:tblW w:w="0" w:type="auto"/>
        <w:tblLook w:val="04A0"/>
      </w:tblPr>
      <w:tblGrid>
        <w:gridCol w:w="4606"/>
        <w:gridCol w:w="4610"/>
      </w:tblGrid>
      <w:tr w:rsidR="00360B31" w:rsidTr="007C6461">
        <w:tc>
          <w:tcPr>
            <w:tcW w:w="4788" w:type="dxa"/>
          </w:tcPr>
          <w:p w:rsidR="00360B31" w:rsidRPr="00C432DE" w:rsidRDefault="00360B31" w:rsidP="007C6461">
            <w:pPr>
              <w:rPr>
                <w:sz w:val="20"/>
              </w:rPr>
            </w:pPr>
            <w:r w:rsidRPr="00C432DE">
              <w:rPr>
                <w:sz w:val="20"/>
              </w:rPr>
              <w:t>Forest age class</w:t>
            </w:r>
          </w:p>
        </w:tc>
        <w:tc>
          <w:tcPr>
            <w:tcW w:w="4788" w:type="dxa"/>
          </w:tcPr>
          <w:p w:rsidR="00360B31" w:rsidRPr="00C432DE" w:rsidRDefault="00360B31" w:rsidP="007C6461">
            <w:pPr>
              <w:rPr>
                <w:sz w:val="20"/>
              </w:rPr>
            </w:pPr>
            <w:r w:rsidRPr="00C432DE">
              <w:rPr>
                <w:sz w:val="20"/>
              </w:rPr>
              <w:t>Habitat quality</w:t>
            </w:r>
          </w:p>
        </w:tc>
      </w:tr>
      <w:tr w:rsidR="00360B31" w:rsidTr="007C6461">
        <w:tc>
          <w:tcPr>
            <w:tcW w:w="4788" w:type="dxa"/>
          </w:tcPr>
          <w:p w:rsidR="00360B31" w:rsidRPr="00C432DE" w:rsidRDefault="00360B31" w:rsidP="007C6461">
            <w:pPr>
              <w:rPr>
                <w:sz w:val="20"/>
              </w:rPr>
            </w:pPr>
            <w:r w:rsidRPr="00C432DE">
              <w:rPr>
                <w:sz w:val="20"/>
              </w:rPr>
              <w:t>0-20</w:t>
            </w:r>
          </w:p>
        </w:tc>
        <w:tc>
          <w:tcPr>
            <w:tcW w:w="4788" w:type="dxa"/>
          </w:tcPr>
          <w:p w:rsidR="00360B31" w:rsidRPr="00C432DE" w:rsidRDefault="00360B31" w:rsidP="007C6461">
            <w:pPr>
              <w:rPr>
                <w:sz w:val="20"/>
              </w:rPr>
            </w:pPr>
            <w:r w:rsidRPr="00C432DE">
              <w:rPr>
                <w:sz w:val="20"/>
              </w:rPr>
              <w:t>1</w:t>
            </w:r>
          </w:p>
        </w:tc>
      </w:tr>
      <w:tr w:rsidR="00360B31" w:rsidTr="007C6461">
        <w:tc>
          <w:tcPr>
            <w:tcW w:w="4788" w:type="dxa"/>
          </w:tcPr>
          <w:p w:rsidR="00360B31" w:rsidRPr="00C432DE" w:rsidRDefault="00360B31" w:rsidP="007C6461">
            <w:pPr>
              <w:rPr>
                <w:sz w:val="20"/>
              </w:rPr>
            </w:pPr>
            <w:r w:rsidRPr="00C432DE">
              <w:rPr>
                <w:sz w:val="20"/>
              </w:rPr>
              <w:t>21-40</w:t>
            </w:r>
          </w:p>
        </w:tc>
        <w:tc>
          <w:tcPr>
            <w:tcW w:w="4788" w:type="dxa"/>
          </w:tcPr>
          <w:p w:rsidR="00360B31" w:rsidRPr="00C432DE" w:rsidRDefault="00360B31" w:rsidP="007C6461">
            <w:pPr>
              <w:rPr>
                <w:sz w:val="20"/>
              </w:rPr>
            </w:pPr>
            <w:r w:rsidRPr="00C432DE">
              <w:rPr>
                <w:sz w:val="20"/>
              </w:rPr>
              <w:t>1</w:t>
            </w:r>
          </w:p>
        </w:tc>
      </w:tr>
      <w:tr w:rsidR="00360B31" w:rsidTr="007C6461">
        <w:tc>
          <w:tcPr>
            <w:tcW w:w="4788" w:type="dxa"/>
          </w:tcPr>
          <w:p w:rsidR="00360B31" w:rsidRPr="00C432DE" w:rsidRDefault="00360B31" w:rsidP="007C6461">
            <w:pPr>
              <w:rPr>
                <w:sz w:val="20"/>
              </w:rPr>
            </w:pPr>
            <w:r w:rsidRPr="00C432DE">
              <w:rPr>
                <w:sz w:val="20"/>
              </w:rPr>
              <w:t>41-60</w:t>
            </w:r>
          </w:p>
        </w:tc>
        <w:tc>
          <w:tcPr>
            <w:tcW w:w="4788" w:type="dxa"/>
          </w:tcPr>
          <w:p w:rsidR="00360B31" w:rsidRPr="00C432DE" w:rsidRDefault="00360B31" w:rsidP="007C6461">
            <w:pPr>
              <w:rPr>
                <w:sz w:val="20"/>
              </w:rPr>
            </w:pPr>
            <w:r w:rsidRPr="00C432DE">
              <w:rPr>
                <w:sz w:val="20"/>
              </w:rPr>
              <w:t>0.9</w:t>
            </w:r>
          </w:p>
        </w:tc>
      </w:tr>
      <w:tr w:rsidR="00360B31" w:rsidTr="007C6461">
        <w:tc>
          <w:tcPr>
            <w:tcW w:w="4788" w:type="dxa"/>
          </w:tcPr>
          <w:p w:rsidR="00360B31" w:rsidRPr="00C432DE" w:rsidRDefault="00360B31" w:rsidP="007C6461">
            <w:pPr>
              <w:rPr>
                <w:sz w:val="20"/>
              </w:rPr>
            </w:pPr>
            <w:r w:rsidRPr="00C432DE">
              <w:rPr>
                <w:sz w:val="20"/>
              </w:rPr>
              <w:t>61-80</w:t>
            </w:r>
          </w:p>
        </w:tc>
        <w:tc>
          <w:tcPr>
            <w:tcW w:w="4788" w:type="dxa"/>
          </w:tcPr>
          <w:p w:rsidR="00360B31" w:rsidRPr="00C432DE" w:rsidRDefault="00360B31" w:rsidP="007C6461">
            <w:pPr>
              <w:rPr>
                <w:sz w:val="20"/>
              </w:rPr>
            </w:pPr>
            <w:r w:rsidRPr="00C432DE">
              <w:rPr>
                <w:sz w:val="20"/>
              </w:rPr>
              <w:t>0.4</w:t>
            </w:r>
          </w:p>
        </w:tc>
      </w:tr>
      <w:tr w:rsidR="00360B31" w:rsidTr="007C6461">
        <w:tc>
          <w:tcPr>
            <w:tcW w:w="4788" w:type="dxa"/>
          </w:tcPr>
          <w:p w:rsidR="00360B31" w:rsidRPr="00C432DE" w:rsidRDefault="00360B31" w:rsidP="007C6461">
            <w:pPr>
              <w:rPr>
                <w:sz w:val="20"/>
              </w:rPr>
            </w:pPr>
            <w:r w:rsidRPr="00C432DE">
              <w:rPr>
                <w:sz w:val="20"/>
              </w:rPr>
              <w:t>81-100</w:t>
            </w:r>
          </w:p>
        </w:tc>
        <w:tc>
          <w:tcPr>
            <w:tcW w:w="4788" w:type="dxa"/>
          </w:tcPr>
          <w:p w:rsidR="00360B31" w:rsidRPr="00C432DE" w:rsidRDefault="00360B31" w:rsidP="007C6461">
            <w:pPr>
              <w:rPr>
                <w:sz w:val="20"/>
              </w:rPr>
            </w:pPr>
            <w:r w:rsidRPr="00C432DE">
              <w:rPr>
                <w:sz w:val="20"/>
              </w:rPr>
              <w:t>0.2</w:t>
            </w:r>
          </w:p>
        </w:tc>
      </w:tr>
      <w:tr w:rsidR="00360B31" w:rsidTr="007C6461">
        <w:tc>
          <w:tcPr>
            <w:tcW w:w="4788" w:type="dxa"/>
          </w:tcPr>
          <w:p w:rsidR="00360B31" w:rsidRPr="00C432DE" w:rsidRDefault="00360B31" w:rsidP="007C6461">
            <w:pPr>
              <w:rPr>
                <w:sz w:val="20"/>
              </w:rPr>
            </w:pPr>
            <w:r w:rsidRPr="00C432DE">
              <w:rPr>
                <w:sz w:val="20"/>
              </w:rPr>
              <w:t>101-120</w:t>
            </w:r>
          </w:p>
        </w:tc>
        <w:tc>
          <w:tcPr>
            <w:tcW w:w="4788" w:type="dxa"/>
          </w:tcPr>
          <w:p w:rsidR="00360B31" w:rsidRPr="00C432DE" w:rsidRDefault="00360B31" w:rsidP="007C6461">
            <w:pPr>
              <w:rPr>
                <w:sz w:val="20"/>
              </w:rPr>
            </w:pPr>
            <w:r w:rsidRPr="00C432DE">
              <w:rPr>
                <w:sz w:val="20"/>
              </w:rPr>
              <w:t>0.1</w:t>
            </w:r>
          </w:p>
        </w:tc>
      </w:tr>
      <w:tr w:rsidR="00360B31" w:rsidTr="007C6461">
        <w:tc>
          <w:tcPr>
            <w:tcW w:w="4788" w:type="dxa"/>
          </w:tcPr>
          <w:p w:rsidR="00360B31" w:rsidRPr="00C432DE" w:rsidRDefault="00360B31" w:rsidP="007C6461">
            <w:pPr>
              <w:rPr>
                <w:sz w:val="20"/>
              </w:rPr>
            </w:pPr>
            <w:r w:rsidRPr="00C432DE">
              <w:rPr>
                <w:sz w:val="20"/>
              </w:rPr>
              <w:t>121-140</w:t>
            </w:r>
          </w:p>
        </w:tc>
        <w:tc>
          <w:tcPr>
            <w:tcW w:w="4788" w:type="dxa"/>
          </w:tcPr>
          <w:p w:rsidR="00360B31" w:rsidRPr="00C432DE" w:rsidRDefault="00360B31" w:rsidP="007C6461">
            <w:pPr>
              <w:rPr>
                <w:sz w:val="20"/>
              </w:rPr>
            </w:pPr>
            <w:r w:rsidRPr="00C432DE">
              <w:rPr>
                <w:sz w:val="20"/>
              </w:rPr>
              <w:t>0.1</w:t>
            </w:r>
          </w:p>
        </w:tc>
      </w:tr>
      <w:tr w:rsidR="00360B31" w:rsidTr="007C6461">
        <w:tc>
          <w:tcPr>
            <w:tcW w:w="4788" w:type="dxa"/>
          </w:tcPr>
          <w:p w:rsidR="00360B31" w:rsidRPr="00C432DE" w:rsidRDefault="00360B31" w:rsidP="007C6461">
            <w:pPr>
              <w:rPr>
                <w:sz w:val="20"/>
              </w:rPr>
            </w:pPr>
            <w:r w:rsidRPr="00C432DE">
              <w:rPr>
                <w:sz w:val="20"/>
              </w:rPr>
              <w:t>141-160</w:t>
            </w:r>
          </w:p>
        </w:tc>
        <w:tc>
          <w:tcPr>
            <w:tcW w:w="4788" w:type="dxa"/>
          </w:tcPr>
          <w:p w:rsidR="00360B31" w:rsidRPr="00C432DE" w:rsidRDefault="00360B31" w:rsidP="007C6461">
            <w:pPr>
              <w:rPr>
                <w:sz w:val="20"/>
              </w:rPr>
            </w:pPr>
            <w:r w:rsidRPr="00C432DE">
              <w:rPr>
                <w:sz w:val="20"/>
              </w:rPr>
              <w:t>0.2</w:t>
            </w:r>
          </w:p>
        </w:tc>
      </w:tr>
      <w:tr w:rsidR="00360B31" w:rsidTr="007C6461">
        <w:tc>
          <w:tcPr>
            <w:tcW w:w="4788" w:type="dxa"/>
          </w:tcPr>
          <w:p w:rsidR="00360B31" w:rsidRPr="00C432DE" w:rsidRDefault="00360B31" w:rsidP="007C6461">
            <w:pPr>
              <w:rPr>
                <w:sz w:val="20"/>
              </w:rPr>
            </w:pPr>
            <w:r w:rsidRPr="00C432DE">
              <w:rPr>
                <w:sz w:val="20"/>
              </w:rPr>
              <w:t>161-180</w:t>
            </w:r>
          </w:p>
        </w:tc>
        <w:tc>
          <w:tcPr>
            <w:tcW w:w="4788" w:type="dxa"/>
          </w:tcPr>
          <w:p w:rsidR="00360B31" w:rsidRPr="00C432DE" w:rsidRDefault="00360B31" w:rsidP="007C6461">
            <w:pPr>
              <w:rPr>
                <w:sz w:val="20"/>
              </w:rPr>
            </w:pPr>
            <w:r w:rsidRPr="00C432DE">
              <w:rPr>
                <w:sz w:val="20"/>
              </w:rPr>
              <w:t>0.3</w:t>
            </w:r>
          </w:p>
        </w:tc>
      </w:tr>
      <w:tr w:rsidR="00360B31" w:rsidTr="007C6461">
        <w:tc>
          <w:tcPr>
            <w:tcW w:w="4788" w:type="dxa"/>
          </w:tcPr>
          <w:p w:rsidR="00360B31" w:rsidRPr="00C432DE" w:rsidRDefault="00360B31" w:rsidP="007C6461">
            <w:pPr>
              <w:rPr>
                <w:sz w:val="20"/>
              </w:rPr>
            </w:pPr>
            <w:r w:rsidRPr="00C432DE">
              <w:rPr>
                <w:sz w:val="20"/>
              </w:rPr>
              <w:t>&gt;180</w:t>
            </w:r>
          </w:p>
        </w:tc>
        <w:tc>
          <w:tcPr>
            <w:tcW w:w="4788" w:type="dxa"/>
          </w:tcPr>
          <w:p w:rsidR="00360B31" w:rsidRPr="00C432DE" w:rsidRDefault="00360B31" w:rsidP="007C6461">
            <w:pPr>
              <w:rPr>
                <w:sz w:val="20"/>
              </w:rPr>
            </w:pPr>
            <w:r w:rsidRPr="00C432DE">
              <w:rPr>
                <w:sz w:val="20"/>
              </w:rPr>
              <w:t>0.6</w:t>
            </w:r>
          </w:p>
        </w:tc>
      </w:tr>
    </w:tbl>
    <w:p w:rsidR="00360B31" w:rsidRDefault="00360B31" w:rsidP="00BA01E7"/>
    <w:p w:rsidR="007714CD" w:rsidRDefault="007714CD" w:rsidP="00BA01E7">
      <w:pPr>
        <w:pStyle w:val="Heading3"/>
        <w:keepLines/>
        <w:tabs>
          <w:tab w:val="clear" w:pos="720"/>
        </w:tabs>
        <w:spacing w:before="200" w:after="0" w:line="276" w:lineRule="auto"/>
      </w:pPr>
      <w:bookmarkStart w:id="277" w:name="_Toc296586231"/>
      <w:bookmarkStart w:id="278" w:name="_Toc338703707"/>
      <w:r>
        <w:lastRenderedPageBreak/>
        <w:t>Moose Harvest</w:t>
      </w:r>
      <w:bookmarkEnd w:id="278"/>
    </w:p>
    <w:p w:rsidR="007714CD" w:rsidRDefault="007714CD" w:rsidP="007714CD">
      <w:pPr>
        <w:pStyle w:val="BodyText"/>
        <w:keepNext/>
        <w:spacing w:after="0"/>
      </w:pPr>
      <w:r>
        <w:t>Of the various natural foods available to the peoples of CLFN, moose is considered an important staple during pre-European times and is still actively hunted. Traditional demand for moose meat by CLFN was based on research of Tanner et al. (2001) conducted for the First Nations of Fort McKay</w:t>
      </w:r>
      <w:r w:rsidR="003D4DCB">
        <w:t xml:space="preserve"> (</w:t>
      </w:r>
      <w:r w:rsidR="00575CA7">
        <w:fldChar w:fldCharType="begin"/>
      </w:r>
      <w:r w:rsidR="003D4DCB">
        <w:instrText xml:space="preserve"> REF _Ref326254148 \h </w:instrText>
      </w:r>
      <w:r w:rsidR="00575CA7">
        <w:fldChar w:fldCharType="separate"/>
      </w:r>
      <w:r w:rsidR="003648B8">
        <w:t xml:space="preserve">Figure </w:t>
      </w:r>
      <w:r w:rsidR="003648B8">
        <w:rPr>
          <w:noProof/>
        </w:rPr>
        <w:t>112</w:t>
      </w:r>
      <w:r w:rsidR="00575CA7">
        <w:fldChar w:fldCharType="end"/>
      </w:r>
      <w:r w:rsidR="003D4DCB">
        <w:t>)</w:t>
      </w:r>
      <w:r>
        <w:t xml:space="preserve">. Based on a family size of 6.6 individuals, annual demand for moose harvest would range from 1.24 to 1.58, with an average value </w:t>
      </w:r>
      <w:proofErr w:type="gramStart"/>
      <w:r>
        <w:t>of 1.40 moose/individual</w:t>
      </w:r>
      <w:r w:rsidR="009E7586">
        <w:t>/yr</w:t>
      </w:r>
      <w:proofErr w:type="gramEnd"/>
      <w:r>
        <w:t>.</w:t>
      </w:r>
    </w:p>
    <w:p w:rsidR="007714CD" w:rsidRDefault="007714CD" w:rsidP="007714CD">
      <w:pPr>
        <w:pStyle w:val="BodyText"/>
        <w:keepNext/>
        <w:spacing w:after="0"/>
      </w:pPr>
    </w:p>
    <w:p w:rsidR="007714CD" w:rsidRDefault="007714CD" w:rsidP="007714CD">
      <w:pPr>
        <w:pStyle w:val="BodyText"/>
        <w:keepNext/>
        <w:spacing w:after="0"/>
      </w:pPr>
      <w:r>
        <w:t xml:space="preserve">Key metrics used in the CLFN ALCES model for simulating population </w:t>
      </w:r>
      <w:r w:rsidR="00752AEA">
        <w:t xml:space="preserve">and harvest </w:t>
      </w:r>
      <w:r>
        <w:t>dynamics of moose include the following:</w:t>
      </w:r>
    </w:p>
    <w:p w:rsidR="007714CD" w:rsidRDefault="007714CD" w:rsidP="007714CD">
      <w:pPr>
        <w:pStyle w:val="BodyText"/>
        <w:keepNext/>
        <w:spacing w:after="0"/>
      </w:pPr>
    </w:p>
    <w:p w:rsidR="007714CD" w:rsidRDefault="00E77828" w:rsidP="007714CD">
      <w:pPr>
        <w:pStyle w:val="BodyText"/>
        <w:keepNext/>
        <w:spacing w:after="0"/>
      </w:pPr>
      <w:r>
        <w:t>Maximum c</w:t>
      </w:r>
      <w:r w:rsidR="007714CD">
        <w:t xml:space="preserve">arrying </w:t>
      </w:r>
      <w:r>
        <w:t>c</w:t>
      </w:r>
      <w:r w:rsidR="00752AEA">
        <w:t>apacity (individuals/km</w:t>
      </w:r>
      <w:r w:rsidR="00752AEA" w:rsidRPr="00752AEA">
        <w:rPr>
          <w:vertAlign w:val="superscript"/>
        </w:rPr>
        <w:t>2</w:t>
      </w:r>
      <w:r w:rsidR="00752AEA">
        <w:t>):</w:t>
      </w:r>
      <w:r w:rsidR="00752AEA">
        <w:tab/>
      </w:r>
      <w:r w:rsidR="00752AEA">
        <w:tab/>
      </w:r>
      <w:r w:rsidR="00752AEA">
        <w:tab/>
      </w:r>
      <w:r w:rsidR="00752AEA">
        <w:tab/>
        <w:t>0.5</w:t>
      </w:r>
    </w:p>
    <w:p w:rsidR="007714CD" w:rsidRDefault="007714CD" w:rsidP="007714CD">
      <w:pPr>
        <w:pStyle w:val="BodyText"/>
        <w:keepNext/>
        <w:spacing w:after="0"/>
      </w:pPr>
      <w:r>
        <w:t>Maximum fraction of population that can be harvested annually:</w:t>
      </w:r>
      <w:r>
        <w:tab/>
      </w:r>
      <w:r>
        <w:tab/>
        <w:t>25%</w:t>
      </w:r>
    </w:p>
    <w:p w:rsidR="007714CD" w:rsidRDefault="007714CD" w:rsidP="007714CD">
      <w:pPr>
        <w:pStyle w:val="BodyText"/>
        <w:keepNext/>
        <w:spacing w:after="0"/>
      </w:pPr>
      <w:r>
        <w:t>Moose liveweight (kg)</w:t>
      </w:r>
      <w:r>
        <w:tab/>
      </w:r>
      <w:r>
        <w:tab/>
      </w:r>
      <w:r>
        <w:tab/>
      </w:r>
      <w:r>
        <w:tab/>
      </w:r>
      <w:r>
        <w:tab/>
      </w:r>
      <w:r>
        <w:tab/>
      </w:r>
      <w:r>
        <w:tab/>
        <w:t>250</w:t>
      </w:r>
    </w:p>
    <w:p w:rsidR="007714CD" w:rsidRDefault="007714CD" w:rsidP="007714CD">
      <w:pPr>
        <w:pStyle w:val="BodyText"/>
        <w:keepNext/>
        <w:spacing w:after="0"/>
      </w:pPr>
      <w:r>
        <w:t>Fraction of liveweight that is carcass</w:t>
      </w:r>
      <w:r>
        <w:tab/>
      </w:r>
      <w:r>
        <w:tab/>
      </w:r>
      <w:r>
        <w:tab/>
      </w:r>
      <w:r>
        <w:tab/>
      </w:r>
      <w:r>
        <w:tab/>
      </w:r>
      <w:r>
        <w:tab/>
        <w:t>55%</w:t>
      </w:r>
    </w:p>
    <w:p w:rsidR="007714CD" w:rsidRDefault="007714CD" w:rsidP="007714CD">
      <w:pPr>
        <w:pStyle w:val="BodyText"/>
        <w:keepNext/>
        <w:spacing w:after="0"/>
      </w:pPr>
    </w:p>
    <w:p w:rsidR="00B962A4" w:rsidRDefault="00B962A4" w:rsidP="007714CD">
      <w:pPr>
        <w:pStyle w:val="BodyText"/>
        <w:keepNext/>
        <w:spacing w:after="0"/>
      </w:pPr>
    </w:p>
    <w:p w:rsidR="00B962A4" w:rsidRDefault="00B962A4" w:rsidP="007714CD">
      <w:pPr>
        <w:pStyle w:val="BodyText"/>
        <w:keepNext/>
        <w:spacing w:after="0"/>
      </w:pPr>
    </w:p>
    <w:p w:rsidR="00B962A4" w:rsidRDefault="00B962A4" w:rsidP="007714CD">
      <w:pPr>
        <w:pStyle w:val="BodyText"/>
        <w:keepNext/>
        <w:spacing w:after="0"/>
      </w:pPr>
    </w:p>
    <w:p w:rsidR="00B962A4" w:rsidRDefault="00B962A4" w:rsidP="007714CD">
      <w:pPr>
        <w:pStyle w:val="BodyText"/>
        <w:keepNext/>
        <w:spacing w:after="0"/>
      </w:pPr>
    </w:p>
    <w:p w:rsidR="00B962A4" w:rsidRDefault="00B962A4" w:rsidP="007714CD">
      <w:pPr>
        <w:pStyle w:val="BodyText"/>
        <w:keepNext/>
        <w:spacing w:after="0"/>
      </w:pPr>
    </w:p>
    <w:p w:rsidR="00B962A4" w:rsidRDefault="00B962A4" w:rsidP="007714CD">
      <w:pPr>
        <w:pStyle w:val="BodyText"/>
        <w:keepNext/>
        <w:spacing w:after="0"/>
      </w:pPr>
    </w:p>
    <w:p w:rsidR="00B962A4" w:rsidRDefault="00B962A4" w:rsidP="007714CD">
      <w:pPr>
        <w:pStyle w:val="BodyText"/>
        <w:keepNext/>
        <w:spacing w:after="0"/>
      </w:pPr>
    </w:p>
    <w:p w:rsidR="007714CD" w:rsidRDefault="007714CD" w:rsidP="007714CD">
      <w:pPr>
        <w:pStyle w:val="BodyText"/>
        <w:keepNext/>
        <w:spacing w:after="0"/>
      </w:pPr>
      <w:r>
        <w:rPr>
          <w:noProof/>
          <w:lang w:val="en-US"/>
        </w:rPr>
        <w:drawing>
          <wp:inline distT="0" distB="0" distL="0" distR="0">
            <wp:extent cx="4799693" cy="3600000"/>
            <wp:effectExtent l="19050" t="19050" r="19957" b="19500"/>
            <wp:docPr id="9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3" cstate="print"/>
                    <a:srcRect/>
                    <a:stretch>
                      <a:fillRect/>
                    </a:stretch>
                  </pic:blipFill>
                  <pic:spPr bwMode="auto">
                    <a:xfrm>
                      <a:off x="0" y="0"/>
                      <a:ext cx="4799693"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7714CD" w:rsidRPr="007714CD" w:rsidRDefault="007714CD" w:rsidP="007714CD">
      <w:pPr>
        <w:pStyle w:val="Caption"/>
        <w:rPr>
          <w:lang w:val="en-US"/>
        </w:rPr>
      </w:pPr>
      <w:bookmarkStart w:id="279" w:name="_Ref326254148"/>
      <w:bookmarkStart w:id="280" w:name="_Toc338703891"/>
      <w:proofErr w:type="gramStart"/>
      <w:r>
        <w:t xml:space="preserve">Figure </w:t>
      </w:r>
      <w:fldSimple w:instr=" SEQ Figure \* ARABIC ">
        <w:r w:rsidR="00A02D22">
          <w:rPr>
            <w:noProof/>
          </w:rPr>
          <w:t>112</w:t>
        </w:r>
      </w:fldSimple>
      <w:bookmarkEnd w:id="279"/>
      <w:r>
        <w:t>.</w:t>
      </w:r>
      <w:proofErr w:type="gramEnd"/>
      <w:r>
        <w:t xml:space="preserve"> Estimating traditional moose harvest demand by CLFN.</w:t>
      </w:r>
      <w:bookmarkEnd w:id="280"/>
    </w:p>
    <w:p w:rsidR="007714CD" w:rsidRDefault="007714CD">
      <w:pPr>
        <w:spacing w:after="200" w:line="276" w:lineRule="auto"/>
        <w:rPr>
          <w:rFonts w:ascii="Arial" w:hAnsi="Arial"/>
          <w:b/>
          <w:kern w:val="28"/>
          <w:lang w:val="en-US"/>
        </w:rPr>
      </w:pPr>
      <w:r>
        <w:br w:type="page"/>
      </w:r>
    </w:p>
    <w:p w:rsidR="00BA01E7" w:rsidRDefault="00BA01E7" w:rsidP="00BA01E7">
      <w:pPr>
        <w:pStyle w:val="Heading3"/>
        <w:keepLines/>
        <w:tabs>
          <w:tab w:val="clear" w:pos="720"/>
        </w:tabs>
        <w:spacing w:before="200" w:after="0" w:line="276" w:lineRule="auto"/>
      </w:pPr>
      <w:bookmarkStart w:id="281" w:name="_Toc338703708"/>
      <w:r>
        <w:lastRenderedPageBreak/>
        <w:t>Fisher</w:t>
      </w:r>
      <w:bookmarkEnd w:id="277"/>
      <w:bookmarkEnd w:id="281"/>
    </w:p>
    <w:p w:rsidR="00BA01E7" w:rsidRDefault="00BA01E7" w:rsidP="00BA01E7">
      <w:r>
        <w:t>As with moose, the response of fisher habitat to simulated landscape changes will be assessed using a HSI model (see the previous section on the moose HSI for a general description of HSI models).  The fisher HSI is based on literature review and expert opinion.  The model was developed for the Cumulative Environmental Management Association.</w:t>
      </w:r>
    </w:p>
    <w:p w:rsidR="009E7586" w:rsidRDefault="009E7586" w:rsidP="00BA01E7"/>
    <w:p w:rsidR="00BA01E7" w:rsidRDefault="00BA01E7" w:rsidP="00BA01E7">
      <w:r>
        <w:t>The fisher HSI assumes that upland coniferous and mixedwood forest have the highest habitat value due to the capacity of these cover types to provide cover and prey throughout the year</w:t>
      </w:r>
      <w:r w:rsidR="00F327B4">
        <w:t xml:space="preserve"> (</w:t>
      </w:r>
      <w:r w:rsidR="00575CA7">
        <w:fldChar w:fldCharType="begin"/>
      </w:r>
      <w:r w:rsidR="00F327B4">
        <w:instrText xml:space="preserve"> REF _Ref326262121 \h </w:instrText>
      </w:r>
      <w:r w:rsidR="00575CA7">
        <w:fldChar w:fldCharType="separate"/>
      </w:r>
      <w:r w:rsidR="003648B8">
        <w:t xml:space="preserve">Table </w:t>
      </w:r>
      <w:r w:rsidR="003648B8">
        <w:rPr>
          <w:noProof/>
        </w:rPr>
        <w:t>7</w:t>
      </w:r>
      <w:r w:rsidR="00575CA7">
        <w:fldChar w:fldCharType="end"/>
      </w:r>
      <w:r w:rsidR="00F327B4">
        <w:t>)</w:t>
      </w:r>
      <w:r>
        <w:t>.  To account for the impact of human access, especially trapping, anthropogenic footprints are buffered by 100 m when calculating habitat availability</w:t>
      </w:r>
      <w:r w:rsidR="00F327B4">
        <w:t xml:space="preserve"> (</w:t>
      </w:r>
      <w:r w:rsidR="00575CA7">
        <w:fldChar w:fldCharType="begin"/>
      </w:r>
      <w:r w:rsidR="00F327B4">
        <w:instrText xml:space="preserve"> REF _Ref326262150 \h </w:instrText>
      </w:r>
      <w:r w:rsidR="00575CA7">
        <w:fldChar w:fldCharType="separate"/>
      </w:r>
      <w:r w:rsidR="003648B8">
        <w:t xml:space="preserve">Table </w:t>
      </w:r>
      <w:r w:rsidR="003648B8">
        <w:rPr>
          <w:noProof/>
        </w:rPr>
        <w:t>8</w:t>
      </w:r>
      <w:r w:rsidR="00575CA7">
        <w:fldChar w:fldCharType="end"/>
      </w:r>
      <w:r w:rsidR="00F327B4">
        <w:t>)</w:t>
      </w:r>
      <w:r>
        <w:t>.  As with the moose HSI, the buffer associated with future seismic lines is reduced by 50% to incorporate the potential reduction in human access along low impact seismic lines.  Habitat quality is determined by forest age, with older forest having higher quality due to the importance of canopy closure for cover, and large-diameter overstorey trees for dens</w:t>
      </w:r>
      <w:r w:rsidR="00F327B4">
        <w:t xml:space="preserve"> (</w:t>
      </w:r>
      <w:r w:rsidR="00575CA7">
        <w:fldChar w:fldCharType="begin"/>
      </w:r>
      <w:r w:rsidR="00F327B4">
        <w:instrText xml:space="preserve"> REF _Ref326262190 \h </w:instrText>
      </w:r>
      <w:r w:rsidR="00575CA7">
        <w:fldChar w:fldCharType="separate"/>
      </w:r>
      <w:r w:rsidR="003648B8">
        <w:t xml:space="preserve">Table </w:t>
      </w:r>
      <w:r w:rsidR="003648B8">
        <w:rPr>
          <w:noProof/>
        </w:rPr>
        <w:t>9</w:t>
      </w:r>
      <w:r w:rsidR="00575CA7">
        <w:fldChar w:fldCharType="end"/>
      </w:r>
      <w:r w:rsidR="00F327B4">
        <w:t>)</w:t>
      </w:r>
      <w:r>
        <w:t xml:space="preserve">.  The fisher HSI is assessed separately in ALCES for protected and unprotected portions of the landscape, and an overall average HSI value is then calculated as an area weighted average.  When calculating HSI in protected portions of the landscape, anthropogenic footprint is considered negligible.  </w:t>
      </w:r>
      <w:r w:rsidR="009E7586">
        <w:t xml:space="preserve"> </w:t>
      </w:r>
    </w:p>
    <w:p w:rsidR="009E7586" w:rsidRDefault="009E7586" w:rsidP="00BA01E7"/>
    <w:p w:rsidR="00BA01E7" w:rsidRDefault="00BA01E7" w:rsidP="00BA01E7">
      <w:r>
        <w:t>As with the moose HSI, the status of the fisher HSI is interpreted using risk categories that are based on departure from the estimate RNV.</w:t>
      </w:r>
    </w:p>
    <w:p w:rsidR="00360B31" w:rsidRDefault="00360B31" w:rsidP="00BA01E7"/>
    <w:p w:rsidR="009E7586" w:rsidRDefault="009E7586">
      <w:pPr>
        <w:spacing w:after="200" w:line="276" w:lineRule="auto"/>
        <w:rPr>
          <w:b/>
          <w:bCs/>
          <w:sz w:val="20"/>
          <w:szCs w:val="20"/>
          <w:lang w:eastAsia="en-CA"/>
        </w:rPr>
      </w:pPr>
      <w:bookmarkStart w:id="282" w:name="_Toc301950412"/>
      <w:r>
        <w:br w:type="page"/>
      </w:r>
    </w:p>
    <w:p w:rsidR="00360B31" w:rsidRDefault="00360B31" w:rsidP="00360B31">
      <w:pPr>
        <w:pStyle w:val="Caption"/>
        <w:keepNext/>
      </w:pPr>
      <w:bookmarkStart w:id="283" w:name="_Ref326262121"/>
      <w:bookmarkStart w:id="284" w:name="_Toc338703771"/>
      <w:proofErr w:type="gramStart"/>
      <w:r>
        <w:lastRenderedPageBreak/>
        <w:t xml:space="preserve">Table </w:t>
      </w:r>
      <w:r w:rsidR="00575CA7">
        <w:fldChar w:fldCharType="begin"/>
      </w:r>
      <w:r w:rsidR="00D75024">
        <w:instrText xml:space="preserve"> SEQ Table \* ARABIC </w:instrText>
      </w:r>
      <w:r w:rsidR="00575CA7">
        <w:fldChar w:fldCharType="separate"/>
      </w:r>
      <w:r w:rsidR="002B4C72">
        <w:rPr>
          <w:noProof/>
        </w:rPr>
        <w:t>7</w:t>
      </w:r>
      <w:r w:rsidR="00575CA7">
        <w:fldChar w:fldCharType="end"/>
      </w:r>
      <w:bookmarkEnd w:id="283"/>
      <w:r>
        <w:t>.</w:t>
      </w:r>
      <w:proofErr w:type="gramEnd"/>
      <w:r>
        <w:t xml:space="preserve"> </w:t>
      </w:r>
      <w:proofErr w:type="gramStart"/>
      <w:r>
        <w:t>Habitat value by cover or footprint type for the fisher HSI model.</w:t>
      </w:r>
      <w:proofErr w:type="gramEnd"/>
      <w:r>
        <w:t xml:space="preserve">  Values are based on a HSI model developed for CEMA.</w:t>
      </w:r>
      <w:bookmarkEnd w:id="282"/>
      <w:bookmarkEnd w:id="284"/>
    </w:p>
    <w:tbl>
      <w:tblPr>
        <w:tblStyle w:val="TableGrid"/>
        <w:tblW w:w="0" w:type="auto"/>
        <w:tblLook w:val="04A0"/>
      </w:tblPr>
      <w:tblGrid>
        <w:gridCol w:w="2575"/>
        <w:gridCol w:w="5426"/>
        <w:gridCol w:w="1215"/>
      </w:tblGrid>
      <w:tr w:rsidR="00360B31" w:rsidTr="007C6461">
        <w:tc>
          <w:tcPr>
            <w:tcW w:w="2660" w:type="dxa"/>
          </w:tcPr>
          <w:p w:rsidR="00360B31" w:rsidRPr="009E7586" w:rsidRDefault="00360B31" w:rsidP="007C6461">
            <w:pPr>
              <w:rPr>
                <w:sz w:val="20"/>
              </w:rPr>
            </w:pPr>
            <w:r w:rsidRPr="009E7586">
              <w:rPr>
                <w:sz w:val="20"/>
              </w:rPr>
              <w:t>Cover type</w:t>
            </w:r>
          </w:p>
        </w:tc>
        <w:tc>
          <w:tcPr>
            <w:tcW w:w="5670" w:type="dxa"/>
          </w:tcPr>
          <w:p w:rsidR="00360B31" w:rsidRPr="009E7586" w:rsidRDefault="00360B31" w:rsidP="009327D1">
            <w:pPr>
              <w:rPr>
                <w:sz w:val="20"/>
              </w:rPr>
            </w:pPr>
            <w:r w:rsidRPr="009E7586">
              <w:rPr>
                <w:sz w:val="20"/>
              </w:rPr>
              <w:t>Corresponding class from model developed for CEMA</w:t>
            </w:r>
          </w:p>
        </w:tc>
        <w:tc>
          <w:tcPr>
            <w:tcW w:w="1246" w:type="dxa"/>
          </w:tcPr>
          <w:p w:rsidR="00360B31" w:rsidRPr="009E7586" w:rsidRDefault="00360B31" w:rsidP="007C6461">
            <w:pPr>
              <w:rPr>
                <w:sz w:val="20"/>
              </w:rPr>
            </w:pPr>
            <w:r w:rsidRPr="009E7586">
              <w:rPr>
                <w:sz w:val="20"/>
              </w:rPr>
              <w:t>Value</w:t>
            </w:r>
          </w:p>
        </w:tc>
      </w:tr>
      <w:tr w:rsidR="00360B31" w:rsidTr="007C6461">
        <w:tc>
          <w:tcPr>
            <w:tcW w:w="2660" w:type="dxa"/>
          </w:tcPr>
          <w:p w:rsidR="00360B31" w:rsidRPr="009E7586" w:rsidRDefault="00360B31" w:rsidP="007C6461">
            <w:pPr>
              <w:rPr>
                <w:sz w:val="20"/>
              </w:rPr>
            </w:pPr>
            <w:r w:rsidRPr="009E7586">
              <w:rPr>
                <w:sz w:val="20"/>
              </w:rPr>
              <w:t>Hardwood</w:t>
            </w:r>
          </w:p>
        </w:tc>
        <w:tc>
          <w:tcPr>
            <w:tcW w:w="5670" w:type="dxa"/>
          </w:tcPr>
          <w:p w:rsidR="00360B31" w:rsidRPr="009E7586" w:rsidRDefault="00360B31" w:rsidP="007C6461">
            <w:pPr>
              <w:rPr>
                <w:sz w:val="20"/>
              </w:rPr>
            </w:pPr>
            <w:r w:rsidRPr="009E7586">
              <w:rPr>
                <w:sz w:val="20"/>
              </w:rPr>
              <w:t>Hardwood</w:t>
            </w:r>
          </w:p>
        </w:tc>
        <w:tc>
          <w:tcPr>
            <w:tcW w:w="1246" w:type="dxa"/>
          </w:tcPr>
          <w:p w:rsidR="00360B31" w:rsidRPr="009E7586" w:rsidRDefault="00360B31" w:rsidP="009E7586">
            <w:pPr>
              <w:ind w:right="135"/>
              <w:jc w:val="right"/>
              <w:rPr>
                <w:sz w:val="20"/>
              </w:rPr>
            </w:pPr>
            <w:r w:rsidRPr="009E7586">
              <w:rPr>
                <w:sz w:val="20"/>
              </w:rPr>
              <w:t>0</w:t>
            </w:r>
          </w:p>
        </w:tc>
      </w:tr>
      <w:tr w:rsidR="00360B31" w:rsidTr="007C6461">
        <w:tc>
          <w:tcPr>
            <w:tcW w:w="2660" w:type="dxa"/>
          </w:tcPr>
          <w:p w:rsidR="00360B31" w:rsidRPr="009E7586" w:rsidRDefault="00360B31" w:rsidP="007C6461">
            <w:pPr>
              <w:rPr>
                <w:sz w:val="20"/>
              </w:rPr>
            </w:pPr>
            <w:r w:rsidRPr="009E7586">
              <w:rPr>
                <w:sz w:val="20"/>
              </w:rPr>
              <w:t>Mixedwood</w:t>
            </w:r>
          </w:p>
        </w:tc>
        <w:tc>
          <w:tcPr>
            <w:tcW w:w="5670" w:type="dxa"/>
          </w:tcPr>
          <w:p w:rsidR="00360B31" w:rsidRPr="009E7586" w:rsidRDefault="00360B31" w:rsidP="007C6461">
            <w:pPr>
              <w:rPr>
                <w:sz w:val="20"/>
              </w:rPr>
            </w:pPr>
            <w:r w:rsidRPr="009E7586">
              <w:rPr>
                <w:sz w:val="20"/>
              </w:rPr>
              <w:t>Mixedwood</w:t>
            </w:r>
          </w:p>
        </w:tc>
        <w:tc>
          <w:tcPr>
            <w:tcW w:w="1246" w:type="dxa"/>
          </w:tcPr>
          <w:p w:rsidR="00360B31" w:rsidRPr="009E7586" w:rsidRDefault="00360B31" w:rsidP="009E7586">
            <w:pPr>
              <w:ind w:right="135"/>
              <w:jc w:val="right"/>
              <w:rPr>
                <w:sz w:val="20"/>
              </w:rPr>
            </w:pPr>
            <w:r w:rsidRPr="009E7586">
              <w:rPr>
                <w:sz w:val="20"/>
              </w:rPr>
              <w:t>1</w:t>
            </w:r>
            <w:r w:rsidR="009E7586" w:rsidRPr="009E7586">
              <w:rPr>
                <w:sz w:val="20"/>
              </w:rPr>
              <w:t>.00</w:t>
            </w:r>
          </w:p>
        </w:tc>
      </w:tr>
      <w:tr w:rsidR="00360B31" w:rsidTr="007C6461">
        <w:tc>
          <w:tcPr>
            <w:tcW w:w="2660" w:type="dxa"/>
          </w:tcPr>
          <w:p w:rsidR="00360B31" w:rsidRPr="009E7586" w:rsidRDefault="00360B31" w:rsidP="007C6461">
            <w:pPr>
              <w:rPr>
                <w:sz w:val="20"/>
              </w:rPr>
            </w:pPr>
            <w:r w:rsidRPr="009E7586">
              <w:rPr>
                <w:sz w:val="20"/>
              </w:rPr>
              <w:t>Softwood</w:t>
            </w:r>
          </w:p>
        </w:tc>
        <w:tc>
          <w:tcPr>
            <w:tcW w:w="5670" w:type="dxa"/>
          </w:tcPr>
          <w:p w:rsidR="00360B31" w:rsidRPr="009E7586" w:rsidRDefault="00360B31" w:rsidP="007C6461">
            <w:pPr>
              <w:rPr>
                <w:sz w:val="20"/>
              </w:rPr>
            </w:pPr>
            <w:r w:rsidRPr="009E7586">
              <w:rPr>
                <w:sz w:val="20"/>
              </w:rPr>
              <w:t>White spruce, Pine (weighted average</w:t>
            </w:r>
            <w:r w:rsidRPr="009E7586">
              <w:rPr>
                <w:rStyle w:val="FootnoteReference"/>
                <w:sz w:val="20"/>
              </w:rPr>
              <w:footnoteReference w:id="2"/>
            </w:r>
            <w:r w:rsidRPr="009E7586">
              <w:rPr>
                <w:sz w:val="20"/>
              </w:rPr>
              <w:t>)</w:t>
            </w:r>
          </w:p>
        </w:tc>
        <w:tc>
          <w:tcPr>
            <w:tcW w:w="1246" w:type="dxa"/>
          </w:tcPr>
          <w:p w:rsidR="00360B31" w:rsidRPr="009E7586" w:rsidRDefault="00360B31" w:rsidP="009E7586">
            <w:pPr>
              <w:ind w:right="135"/>
              <w:jc w:val="right"/>
              <w:rPr>
                <w:sz w:val="20"/>
              </w:rPr>
            </w:pPr>
            <w:r w:rsidRPr="009E7586">
              <w:rPr>
                <w:sz w:val="20"/>
              </w:rPr>
              <w:t>0.61</w:t>
            </w:r>
          </w:p>
        </w:tc>
      </w:tr>
      <w:tr w:rsidR="00360B31" w:rsidTr="007C6461">
        <w:tc>
          <w:tcPr>
            <w:tcW w:w="2660" w:type="dxa"/>
          </w:tcPr>
          <w:p w:rsidR="00360B31" w:rsidRPr="009E7586" w:rsidRDefault="00360B31" w:rsidP="007C6461">
            <w:pPr>
              <w:rPr>
                <w:sz w:val="20"/>
              </w:rPr>
            </w:pPr>
            <w:r w:rsidRPr="009E7586">
              <w:rPr>
                <w:sz w:val="20"/>
              </w:rPr>
              <w:t>Shrub tall</w:t>
            </w:r>
          </w:p>
        </w:tc>
        <w:tc>
          <w:tcPr>
            <w:tcW w:w="5670" w:type="dxa"/>
          </w:tcPr>
          <w:p w:rsidR="00360B31" w:rsidRPr="009E7586" w:rsidRDefault="00360B31" w:rsidP="007C6461">
            <w:pPr>
              <w:rPr>
                <w:sz w:val="20"/>
              </w:rPr>
            </w:pPr>
            <w:r w:rsidRPr="009E7586">
              <w:rPr>
                <w:sz w:val="20"/>
              </w:rPr>
              <w:t>Shrub tall</w:t>
            </w:r>
          </w:p>
        </w:tc>
        <w:tc>
          <w:tcPr>
            <w:tcW w:w="1246" w:type="dxa"/>
          </w:tcPr>
          <w:p w:rsidR="00360B31" w:rsidRPr="009E7586" w:rsidRDefault="00360B31" w:rsidP="009E7586">
            <w:pPr>
              <w:ind w:right="135"/>
              <w:jc w:val="right"/>
              <w:rPr>
                <w:sz w:val="20"/>
              </w:rPr>
            </w:pPr>
            <w:r w:rsidRPr="009E7586">
              <w:rPr>
                <w:sz w:val="20"/>
              </w:rPr>
              <w:t>0</w:t>
            </w:r>
          </w:p>
        </w:tc>
      </w:tr>
      <w:tr w:rsidR="00360B31" w:rsidTr="007C6461">
        <w:tc>
          <w:tcPr>
            <w:tcW w:w="2660" w:type="dxa"/>
          </w:tcPr>
          <w:p w:rsidR="00360B31" w:rsidRPr="009E7586" w:rsidRDefault="00360B31" w:rsidP="007C6461">
            <w:pPr>
              <w:rPr>
                <w:sz w:val="20"/>
              </w:rPr>
            </w:pPr>
            <w:r w:rsidRPr="009E7586">
              <w:rPr>
                <w:sz w:val="20"/>
              </w:rPr>
              <w:t>Shrub low</w:t>
            </w:r>
          </w:p>
        </w:tc>
        <w:tc>
          <w:tcPr>
            <w:tcW w:w="5670" w:type="dxa"/>
          </w:tcPr>
          <w:p w:rsidR="00360B31" w:rsidRPr="009E7586" w:rsidRDefault="00360B31" w:rsidP="007C6461">
            <w:pPr>
              <w:rPr>
                <w:sz w:val="20"/>
              </w:rPr>
            </w:pPr>
            <w:r w:rsidRPr="009E7586">
              <w:rPr>
                <w:sz w:val="20"/>
              </w:rPr>
              <w:t>Shrub low</w:t>
            </w:r>
          </w:p>
        </w:tc>
        <w:tc>
          <w:tcPr>
            <w:tcW w:w="1246" w:type="dxa"/>
          </w:tcPr>
          <w:p w:rsidR="00360B31" w:rsidRPr="009E7586" w:rsidRDefault="00360B31" w:rsidP="009E7586">
            <w:pPr>
              <w:ind w:right="135"/>
              <w:jc w:val="right"/>
              <w:rPr>
                <w:sz w:val="20"/>
              </w:rPr>
            </w:pPr>
            <w:r w:rsidRPr="009E7586">
              <w:rPr>
                <w:sz w:val="20"/>
              </w:rPr>
              <w:t>0</w:t>
            </w:r>
          </w:p>
        </w:tc>
      </w:tr>
      <w:tr w:rsidR="00360B31" w:rsidTr="007C6461">
        <w:tc>
          <w:tcPr>
            <w:tcW w:w="2660" w:type="dxa"/>
          </w:tcPr>
          <w:p w:rsidR="00360B31" w:rsidRPr="009E7586" w:rsidRDefault="00360B31" w:rsidP="007C6461">
            <w:pPr>
              <w:rPr>
                <w:sz w:val="20"/>
              </w:rPr>
            </w:pPr>
            <w:r w:rsidRPr="009E7586">
              <w:rPr>
                <w:sz w:val="20"/>
              </w:rPr>
              <w:t>Bryoids</w:t>
            </w:r>
          </w:p>
        </w:tc>
        <w:tc>
          <w:tcPr>
            <w:tcW w:w="5670" w:type="dxa"/>
          </w:tcPr>
          <w:p w:rsidR="00360B31" w:rsidRPr="009E7586" w:rsidRDefault="00360B31" w:rsidP="007C6461">
            <w:pPr>
              <w:rPr>
                <w:sz w:val="20"/>
              </w:rPr>
            </w:pPr>
            <w:r w:rsidRPr="009E7586">
              <w:rPr>
                <w:sz w:val="20"/>
              </w:rPr>
              <w:t>Open black spruce lichen moss</w:t>
            </w:r>
          </w:p>
        </w:tc>
        <w:tc>
          <w:tcPr>
            <w:tcW w:w="1246" w:type="dxa"/>
          </w:tcPr>
          <w:p w:rsidR="00360B31" w:rsidRPr="009E7586" w:rsidRDefault="00360B31" w:rsidP="009E7586">
            <w:pPr>
              <w:ind w:right="135"/>
              <w:jc w:val="right"/>
              <w:rPr>
                <w:sz w:val="20"/>
              </w:rPr>
            </w:pPr>
            <w:r w:rsidRPr="009E7586">
              <w:rPr>
                <w:sz w:val="20"/>
              </w:rPr>
              <w:t>0</w:t>
            </w:r>
          </w:p>
        </w:tc>
      </w:tr>
      <w:tr w:rsidR="00360B31" w:rsidTr="007C6461">
        <w:tc>
          <w:tcPr>
            <w:tcW w:w="2660" w:type="dxa"/>
          </w:tcPr>
          <w:p w:rsidR="00360B31" w:rsidRPr="009E7586" w:rsidRDefault="00360B31" w:rsidP="007C6461">
            <w:pPr>
              <w:rPr>
                <w:sz w:val="20"/>
              </w:rPr>
            </w:pPr>
            <w:r w:rsidRPr="009E7586">
              <w:rPr>
                <w:sz w:val="20"/>
              </w:rPr>
              <w:t>Herbaceous</w:t>
            </w:r>
          </w:p>
        </w:tc>
        <w:tc>
          <w:tcPr>
            <w:tcW w:w="5670" w:type="dxa"/>
          </w:tcPr>
          <w:p w:rsidR="00360B31" w:rsidRPr="009E7586" w:rsidRDefault="00360B31" w:rsidP="007C6461">
            <w:pPr>
              <w:rPr>
                <w:sz w:val="20"/>
              </w:rPr>
            </w:pPr>
            <w:r w:rsidRPr="009E7586">
              <w:rPr>
                <w:sz w:val="20"/>
              </w:rPr>
              <w:t>Native herbaceous</w:t>
            </w:r>
          </w:p>
        </w:tc>
        <w:tc>
          <w:tcPr>
            <w:tcW w:w="1246" w:type="dxa"/>
          </w:tcPr>
          <w:p w:rsidR="00360B31" w:rsidRPr="009E7586" w:rsidRDefault="00360B31" w:rsidP="009E7586">
            <w:pPr>
              <w:ind w:right="135"/>
              <w:jc w:val="right"/>
              <w:rPr>
                <w:sz w:val="20"/>
              </w:rPr>
            </w:pPr>
            <w:r w:rsidRPr="009E7586">
              <w:rPr>
                <w:sz w:val="20"/>
              </w:rPr>
              <w:t>0</w:t>
            </w:r>
          </w:p>
        </w:tc>
      </w:tr>
      <w:tr w:rsidR="00360B31" w:rsidTr="007C6461">
        <w:tc>
          <w:tcPr>
            <w:tcW w:w="2660" w:type="dxa"/>
          </w:tcPr>
          <w:p w:rsidR="00360B31" w:rsidRPr="009E7586" w:rsidRDefault="00360B31" w:rsidP="007C6461">
            <w:pPr>
              <w:rPr>
                <w:sz w:val="20"/>
              </w:rPr>
            </w:pPr>
            <w:r w:rsidRPr="009E7586">
              <w:rPr>
                <w:sz w:val="20"/>
              </w:rPr>
              <w:t>Grassland</w:t>
            </w:r>
          </w:p>
        </w:tc>
        <w:tc>
          <w:tcPr>
            <w:tcW w:w="5670" w:type="dxa"/>
          </w:tcPr>
          <w:p w:rsidR="00360B31" w:rsidRPr="009E7586" w:rsidRDefault="00360B31" w:rsidP="007C6461">
            <w:pPr>
              <w:rPr>
                <w:sz w:val="20"/>
              </w:rPr>
            </w:pPr>
            <w:r w:rsidRPr="009E7586">
              <w:rPr>
                <w:sz w:val="20"/>
              </w:rPr>
              <w:t>Native herbaceous</w:t>
            </w:r>
          </w:p>
        </w:tc>
        <w:tc>
          <w:tcPr>
            <w:tcW w:w="1246" w:type="dxa"/>
          </w:tcPr>
          <w:p w:rsidR="00360B31" w:rsidRPr="009E7586" w:rsidRDefault="00360B31" w:rsidP="009E7586">
            <w:pPr>
              <w:ind w:right="135"/>
              <w:jc w:val="right"/>
              <w:rPr>
                <w:sz w:val="20"/>
              </w:rPr>
            </w:pPr>
            <w:r w:rsidRPr="009E7586">
              <w:rPr>
                <w:sz w:val="20"/>
              </w:rPr>
              <w:t>0</w:t>
            </w:r>
          </w:p>
        </w:tc>
      </w:tr>
      <w:tr w:rsidR="00360B31" w:rsidTr="007C6461">
        <w:tc>
          <w:tcPr>
            <w:tcW w:w="2660" w:type="dxa"/>
          </w:tcPr>
          <w:p w:rsidR="00360B31" w:rsidRPr="009E7586" w:rsidRDefault="00360B31" w:rsidP="007C6461">
            <w:pPr>
              <w:rPr>
                <w:sz w:val="20"/>
              </w:rPr>
            </w:pPr>
            <w:r w:rsidRPr="009E7586">
              <w:rPr>
                <w:sz w:val="20"/>
              </w:rPr>
              <w:t>Treed peatland</w:t>
            </w:r>
          </w:p>
        </w:tc>
        <w:tc>
          <w:tcPr>
            <w:tcW w:w="5670" w:type="dxa"/>
          </w:tcPr>
          <w:p w:rsidR="00360B31" w:rsidRPr="009E7586" w:rsidRDefault="00360B31" w:rsidP="007C6461">
            <w:pPr>
              <w:rPr>
                <w:sz w:val="20"/>
              </w:rPr>
            </w:pPr>
            <w:r w:rsidRPr="009E7586">
              <w:rPr>
                <w:sz w:val="20"/>
              </w:rPr>
              <w:t>Open black spruce fen, Close black spruce fen (average)</w:t>
            </w:r>
          </w:p>
        </w:tc>
        <w:tc>
          <w:tcPr>
            <w:tcW w:w="1246" w:type="dxa"/>
          </w:tcPr>
          <w:p w:rsidR="00360B31" w:rsidRPr="009E7586" w:rsidRDefault="00360B31" w:rsidP="009E7586">
            <w:pPr>
              <w:ind w:right="135"/>
              <w:jc w:val="right"/>
              <w:rPr>
                <w:sz w:val="20"/>
              </w:rPr>
            </w:pPr>
            <w:r w:rsidRPr="009E7586">
              <w:rPr>
                <w:sz w:val="20"/>
              </w:rPr>
              <w:t>0.05</w:t>
            </w:r>
          </w:p>
        </w:tc>
      </w:tr>
      <w:tr w:rsidR="00360B31" w:rsidTr="007C6461">
        <w:tc>
          <w:tcPr>
            <w:tcW w:w="2660" w:type="dxa"/>
          </w:tcPr>
          <w:p w:rsidR="00360B31" w:rsidRPr="009E7586" w:rsidRDefault="00360B31" w:rsidP="007C6461">
            <w:pPr>
              <w:rPr>
                <w:sz w:val="20"/>
              </w:rPr>
            </w:pPr>
            <w:r w:rsidRPr="009E7586">
              <w:rPr>
                <w:sz w:val="20"/>
              </w:rPr>
              <w:t>Shrub peatland</w:t>
            </w:r>
          </w:p>
        </w:tc>
        <w:tc>
          <w:tcPr>
            <w:tcW w:w="5670" w:type="dxa"/>
          </w:tcPr>
          <w:p w:rsidR="00360B31" w:rsidRPr="009E7586" w:rsidRDefault="00360B31" w:rsidP="007C6461">
            <w:pPr>
              <w:rPr>
                <w:sz w:val="20"/>
              </w:rPr>
            </w:pPr>
            <w:r w:rsidRPr="009E7586">
              <w:rPr>
                <w:sz w:val="20"/>
              </w:rPr>
              <w:t>Open black spruce fen</w:t>
            </w:r>
          </w:p>
        </w:tc>
        <w:tc>
          <w:tcPr>
            <w:tcW w:w="1246" w:type="dxa"/>
          </w:tcPr>
          <w:p w:rsidR="00360B31" w:rsidRPr="009E7586" w:rsidRDefault="00360B31" w:rsidP="009E7586">
            <w:pPr>
              <w:ind w:right="135"/>
              <w:jc w:val="right"/>
              <w:rPr>
                <w:sz w:val="20"/>
              </w:rPr>
            </w:pPr>
            <w:r w:rsidRPr="009E7586">
              <w:rPr>
                <w:sz w:val="20"/>
              </w:rPr>
              <w:t>0</w:t>
            </w:r>
          </w:p>
        </w:tc>
      </w:tr>
      <w:tr w:rsidR="00360B31" w:rsidTr="007C6461">
        <w:tc>
          <w:tcPr>
            <w:tcW w:w="2660" w:type="dxa"/>
          </w:tcPr>
          <w:p w:rsidR="00360B31" w:rsidRPr="009E7586" w:rsidRDefault="00360B31" w:rsidP="007C6461">
            <w:pPr>
              <w:rPr>
                <w:sz w:val="20"/>
              </w:rPr>
            </w:pPr>
            <w:r w:rsidRPr="009E7586">
              <w:rPr>
                <w:sz w:val="20"/>
              </w:rPr>
              <w:t>Herbaceous peatland</w:t>
            </w:r>
          </w:p>
        </w:tc>
        <w:tc>
          <w:tcPr>
            <w:tcW w:w="5670" w:type="dxa"/>
          </w:tcPr>
          <w:p w:rsidR="00360B31" w:rsidRPr="009E7586" w:rsidRDefault="00360B31" w:rsidP="007C6461">
            <w:pPr>
              <w:rPr>
                <w:sz w:val="20"/>
              </w:rPr>
            </w:pPr>
            <w:r w:rsidRPr="009E7586">
              <w:rPr>
                <w:sz w:val="20"/>
              </w:rPr>
              <w:t>Bog</w:t>
            </w:r>
          </w:p>
        </w:tc>
        <w:tc>
          <w:tcPr>
            <w:tcW w:w="1246" w:type="dxa"/>
          </w:tcPr>
          <w:p w:rsidR="00360B31" w:rsidRPr="009E7586" w:rsidRDefault="00360B31" w:rsidP="009E7586">
            <w:pPr>
              <w:ind w:right="135"/>
              <w:jc w:val="right"/>
              <w:rPr>
                <w:sz w:val="20"/>
              </w:rPr>
            </w:pPr>
            <w:r w:rsidRPr="009E7586">
              <w:rPr>
                <w:sz w:val="20"/>
              </w:rPr>
              <w:t>0</w:t>
            </w:r>
          </w:p>
        </w:tc>
      </w:tr>
      <w:tr w:rsidR="00360B31" w:rsidTr="007C6461">
        <w:tc>
          <w:tcPr>
            <w:tcW w:w="2660" w:type="dxa"/>
          </w:tcPr>
          <w:p w:rsidR="00360B31" w:rsidRPr="009E7586" w:rsidRDefault="00360B31" w:rsidP="007C6461">
            <w:pPr>
              <w:rPr>
                <w:sz w:val="20"/>
              </w:rPr>
            </w:pPr>
            <w:r w:rsidRPr="009E7586">
              <w:rPr>
                <w:sz w:val="20"/>
              </w:rPr>
              <w:t>Barren</w:t>
            </w:r>
          </w:p>
        </w:tc>
        <w:tc>
          <w:tcPr>
            <w:tcW w:w="5670" w:type="dxa"/>
          </w:tcPr>
          <w:p w:rsidR="00360B31" w:rsidRPr="009E7586" w:rsidRDefault="00360B31" w:rsidP="007C6461">
            <w:pPr>
              <w:rPr>
                <w:sz w:val="20"/>
              </w:rPr>
            </w:pPr>
            <w:r w:rsidRPr="009E7586">
              <w:rPr>
                <w:sz w:val="20"/>
              </w:rPr>
              <w:t>Beach Dune</w:t>
            </w:r>
          </w:p>
        </w:tc>
        <w:tc>
          <w:tcPr>
            <w:tcW w:w="1246" w:type="dxa"/>
          </w:tcPr>
          <w:p w:rsidR="00360B31" w:rsidRPr="009E7586" w:rsidRDefault="00360B31" w:rsidP="009E7586">
            <w:pPr>
              <w:ind w:right="135"/>
              <w:jc w:val="right"/>
              <w:rPr>
                <w:sz w:val="20"/>
              </w:rPr>
            </w:pPr>
            <w:r w:rsidRPr="009E7586">
              <w:rPr>
                <w:sz w:val="20"/>
              </w:rPr>
              <w:t>0</w:t>
            </w:r>
          </w:p>
        </w:tc>
      </w:tr>
      <w:tr w:rsidR="00360B31" w:rsidTr="007C6461">
        <w:tc>
          <w:tcPr>
            <w:tcW w:w="2660" w:type="dxa"/>
          </w:tcPr>
          <w:p w:rsidR="00360B31" w:rsidRPr="009E7586" w:rsidRDefault="00360B31" w:rsidP="007C6461">
            <w:pPr>
              <w:rPr>
                <w:sz w:val="20"/>
              </w:rPr>
            </w:pPr>
            <w:r w:rsidRPr="009E7586">
              <w:rPr>
                <w:sz w:val="20"/>
              </w:rPr>
              <w:t>Water</w:t>
            </w:r>
          </w:p>
        </w:tc>
        <w:tc>
          <w:tcPr>
            <w:tcW w:w="5670" w:type="dxa"/>
          </w:tcPr>
          <w:p w:rsidR="00360B31" w:rsidRPr="009E7586" w:rsidRDefault="00360B31" w:rsidP="007C6461">
            <w:pPr>
              <w:rPr>
                <w:sz w:val="20"/>
              </w:rPr>
            </w:pPr>
            <w:r w:rsidRPr="009E7586">
              <w:rPr>
                <w:sz w:val="20"/>
              </w:rPr>
              <w:t>Lotic, Lentic</w:t>
            </w:r>
          </w:p>
        </w:tc>
        <w:tc>
          <w:tcPr>
            <w:tcW w:w="1246" w:type="dxa"/>
          </w:tcPr>
          <w:p w:rsidR="00360B31" w:rsidRPr="009E7586" w:rsidRDefault="00360B31" w:rsidP="009E7586">
            <w:pPr>
              <w:ind w:right="135"/>
              <w:jc w:val="right"/>
              <w:rPr>
                <w:sz w:val="20"/>
              </w:rPr>
            </w:pPr>
            <w:r w:rsidRPr="009E7586">
              <w:rPr>
                <w:sz w:val="20"/>
              </w:rPr>
              <w:t>0</w:t>
            </w:r>
          </w:p>
        </w:tc>
      </w:tr>
      <w:tr w:rsidR="00360B31" w:rsidTr="007C6461">
        <w:tc>
          <w:tcPr>
            <w:tcW w:w="2660" w:type="dxa"/>
          </w:tcPr>
          <w:p w:rsidR="00360B31" w:rsidRPr="009E7586" w:rsidRDefault="00360B31" w:rsidP="007C6461">
            <w:pPr>
              <w:rPr>
                <w:sz w:val="20"/>
              </w:rPr>
            </w:pPr>
            <w:r w:rsidRPr="009E7586">
              <w:rPr>
                <w:sz w:val="20"/>
              </w:rPr>
              <w:t>Annual cropland</w:t>
            </w:r>
          </w:p>
        </w:tc>
        <w:tc>
          <w:tcPr>
            <w:tcW w:w="5670" w:type="dxa"/>
          </w:tcPr>
          <w:p w:rsidR="00360B31" w:rsidRPr="009E7586" w:rsidRDefault="00360B31" w:rsidP="007C6461">
            <w:pPr>
              <w:rPr>
                <w:sz w:val="20"/>
              </w:rPr>
            </w:pPr>
            <w:r w:rsidRPr="009E7586">
              <w:rPr>
                <w:sz w:val="20"/>
              </w:rPr>
              <w:t>Cultivated crop</w:t>
            </w:r>
          </w:p>
        </w:tc>
        <w:tc>
          <w:tcPr>
            <w:tcW w:w="1246" w:type="dxa"/>
          </w:tcPr>
          <w:p w:rsidR="00360B31" w:rsidRPr="009E7586" w:rsidRDefault="00360B31" w:rsidP="009E7586">
            <w:pPr>
              <w:ind w:right="135"/>
              <w:jc w:val="right"/>
              <w:rPr>
                <w:sz w:val="20"/>
              </w:rPr>
            </w:pPr>
            <w:r w:rsidRPr="009E7586">
              <w:rPr>
                <w:sz w:val="20"/>
              </w:rPr>
              <w:t>0</w:t>
            </w:r>
          </w:p>
        </w:tc>
      </w:tr>
      <w:tr w:rsidR="00360B31" w:rsidTr="007C6461">
        <w:tc>
          <w:tcPr>
            <w:tcW w:w="2660" w:type="dxa"/>
          </w:tcPr>
          <w:p w:rsidR="00360B31" w:rsidRPr="009E7586" w:rsidRDefault="00360B31" w:rsidP="007C6461">
            <w:pPr>
              <w:rPr>
                <w:sz w:val="20"/>
              </w:rPr>
            </w:pPr>
            <w:r w:rsidRPr="009E7586">
              <w:rPr>
                <w:sz w:val="20"/>
              </w:rPr>
              <w:t>Forage cropland</w:t>
            </w:r>
          </w:p>
        </w:tc>
        <w:tc>
          <w:tcPr>
            <w:tcW w:w="5670" w:type="dxa"/>
          </w:tcPr>
          <w:p w:rsidR="00360B31" w:rsidRPr="009E7586" w:rsidRDefault="00360B31" w:rsidP="007C6461">
            <w:pPr>
              <w:rPr>
                <w:sz w:val="20"/>
              </w:rPr>
            </w:pPr>
            <w:r w:rsidRPr="009E7586">
              <w:rPr>
                <w:sz w:val="20"/>
              </w:rPr>
              <w:t>Forage crop</w:t>
            </w:r>
          </w:p>
        </w:tc>
        <w:tc>
          <w:tcPr>
            <w:tcW w:w="1246" w:type="dxa"/>
          </w:tcPr>
          <w:p w:rsidR="00360B31" w:rsidRPr="009E7586" w:rsidRDefault="00360B31" w:rsidP="009E7586">
            <w:pPr>
              <w:ind w:right="135"/>
              <w:jc w:val="right"/>
              <w:rPr>
                <w:sz w:val="20"/>
              </w:rPr>
            </w:pPr>
            <w:r w:rsidRPr="009E7586">
              <w:rPr>
                <w:sz w:val="20"/>
              </w:rPr>
              <w:t>0</w:t>
            </w:r>
          </w:p>
        </w:tc>
      </w:tr>
    </w:tbl>
    <w:p w:rsidR="00360B31" w:rsidRDefault="00360B31" w:rsidP="00360B31"/>
    <w:p w:rsidR="00360B31" w:rsidRDefault="00360B31" w:rsidP="00360B31">
      <w:pPr>
        <w:pStyle w:val="Caption"/>
        <w:keepNext/>
      </w:pPr>
      <w:bookmarkStart w:id="285" w:name="_Ref326262150"/>
      <w:bookmarkStart w:id="286" w:name="_Toc301950413"/>
      <w:bookmarkStart w:id="287" w:name="_Toc338703772"/>
      <w:proofErr w:type="gramStart"/>
      <w:r>
        <w:t xml:space="preserve">Table </w:t>
      </w:r>
      <w:r w:rsidR="00575CA7">
        <w:fldChar w:fldCharType="begin"/>
      </w:r>
      <w:r w:rsidR="00D75024">
        <w:instrText xml:space="preserve"> SEQ Table \* ARABIC </w:instrText>
      </w:r>
      <w:r w:rsidR="00575CA7">
        <w:fldChar w:fldCharType="separate"/>
      </w:r>
      <w:r w:rsidR="002B4C72">
        <w:rPr>
          <w:noProof/>
        </w:rPr>
        <w:t>8</w:t>
      </w:r>
      <w:r w:rsidR="00575CA7">
        <w:fldChar w:fldCharType="end"/>
      </w:r>
      <w:bookmarkEnd w:id="285"/>
      <w:r>
        <w:t>.</w:t>
      </w:r>
      <w:proofErr w:type="gramEnd"/>
      <w:r>
        <w:t xml:space="preserve"> The width of buffers placed around industrial footprints, and percent use of habitat within the buffers by fisher with and without access management.</w:t>
      </w:r>
      <w:bookmarkEnd w:id="286"/>
      <w:bookmarkEnd w:id="287"/>
      <w:r>
        <w:t xml:space="preserve"> </w:t>
      </w:r>
    </w:p>
    <w:tbl>
      <w:tblPr>
        <w:tblStyle w:val="TableGrid"/>
        <w:tblW w:w="0" w:type="auto"/>
        <w:tblLook w:val="04A0"/>
      </w:tblPr>
      <w:tblGrid>
        <w:gridCol w:w="2845"/>
        <w:gridCol w:w="2248"/>
        <w:gridCol w:w="2144"/>
        <w:gridCol w:w="1979"/>
      </w:tblGrid>
      <w:tr w:rsidR="00360B31" w:rsidTr="007C6461">
        <w:tc>
          <w:tcPr>
            <w:tcW w:w="2950" w:type="dxa"/>
          </w:tcPr>
          <w:p w:rsidR="00360B31" w:rsidRPr="009E7586" w:rsidRDefault="00360B31" w:rsidP="007C6461">
            <w:pPr>
              <w:rPr>
                <w:sz w:val="20"/>
              </w:rPr>
            </w:pPr>
            <w:r w:rsidRPr="009E7586">
              <w:rPr>
                <w:sz w:val="20"/>
              </w:rPr>
              <w:t>Footprint type</w:t>
            </w:r>
          </w:p>
        </w:tc>
        <w:tc>
          <w:tcPr>
            <w:tcW w:w="2370" w:type="dxa"/>
          </w:tcPr>
          <w:p w:rsidR="00360B31" w:rsidRPr="009E7586" w:rsidRDefault="00360B31" w:rsidP="007C6461">
            <w:pPr>
              <w:rPr>
                <w:sz w:val="20"/>
              </w:rPr>
            </w:pPr>
            <w:r w:rsidRPr="009E7586">
              <w:rPr>
                <w:sz w:val="20"/>
              </w:rPr>
              <w:t>Buffer width (m)</w:t>
            </w:r>
          </w:p>
        </w:tc>
        <w:tc>
          <w:tcPr>
            <w:tcW w:w="2217" w:type="dxa"/>
          </w:tcPr>
          <w:p w:rsidR="00360B31" w:rsidRPr="009E7586" w:rsidRDefault="00360B31" w:rsidP="007C6461">
            <w:pPr>
              <w:rPr>
                <w:sz w:val="20"/>
              </w:rPr>
            </w:pPr>
            <w:r w:rsidRPr="009E7586">
              <w:rPr>
                <w:sz w:val="20"/>
              </w:rPr>
              <w:t>Buffer use without access management</w:t>
            </w:r>
          </w:p>
        </w:tc>
        <w:tc>
          <w:tcPr>
            <w:tcW w:w="2039" w:type="dxa"/>
          </w:tcPr>
          <w:p w:rsidR="00360B31" w:rsidRPr="009E7586" w:rsidRDefault="00360B31" w:rsidP="007C6461">
            <w:pPr>
              <w:rPr>
                <w:sz w:val="20"/>
              </w:rPr>
            </w:pPr>
            <w:r w:rsidRPr="009E7586">
              <w:rPr>
                <w:sz w:val="20"/>
              </w:rPr>
              <w:t>Buffer use with access management</w:t>
            </w:r>
          </w:p>
        </w:tc>
      </w:tr>
      <w:tr w:rsidR="00360B31" w:rsidTr="007C6461">
        <w:tc>
          <w:tcPr>
            <w:tcW w:w="2950" w:type="dxa"/>
          </w:tcPr>
          <w:p w:rsidR="00360B31" w:rsidRPr="009E7586" w:rsidRDefault="00360B31" w:rsidP="007C6461">
            <w:pPr>
              <w:rPr>
                <w:sz w:val="20"/>
              </w:rPr>
            </w:pPr>
            <w:r w:rsidRPr="009E7586">
              <w:rPr>
                <w:sz w:val="20"/>
              </w:rPr>
              <w:t>Major road</w:t>
            </w:r>
          </w:p>
        </w:tc>
        <w:tc>
          <w:tcPr>
            <w:tcW w:w="2370" w:type="dxa"/>
          </w:tcPr>
          <w:p w:rsidR="00360B31" w:rsidRPr="009E7586" w:rsidRDefault="00360B31" w:rsidP="007C6461">
            <w:pPr>
              <w:rPr>
                <w:sz w:val="20"/>
              </w:rPr>
            </w:pPr>
            <w:r w:rsidRPr="009E7586">
              <w:rPr>
                <w:sz w:val="20"/>
              </w:rPr>
              <w:t>100</w:t>
            </w:r>
          </w:p>
        </w:tc>
        <w:tc>
          <w:tcPr>
            <w:tcW w:w="2217" w:type="dxa"/>
          </w:tcPr>
          <w:p w:rsidR="00360B31" w:rsidRPr="009E7586" w:rsidRDefault="00360B31" w:rsidP="007C6461">
            <w:pPr>
              <w:rPr>
                <w:sz w:val="20"/>
              </w:rPr>
            </w:pPr>
            <w:r w:rsidRPr="009E7586">
              <w:rPr>
                <w:sz w:val="20"/>
              </w:rPr>
              <w:t>0.1</w:t>
            </w:r>
          </w:p>
        </w:tc>
        <w:tc>
          <w:tcPr>
            <w:tcW w:w="2039" w:type="dxa"/>
          </w:tcPr>
          <w:p w:rsidR="00360B31" w:rsidRPr="009E7586" w:rsidRDefault="00360B31" w:rsidP="007C6461">
            <w:pPr>
              <w:rPr>
                <w:sz w:val="20"/>
              </w:rPr>
            </w:pPr>
            <w:r w:rsidRPr="009E7586">
              <w:rPr>
                <w:sz w:val="20"/>
              </w:rPr>
              <w:t>0.5</w:t>
            </w:r>
          </w:p>
        </w:tc>
      </w:tr>
      <w:tr w:rsidR="00360B31" w:rsidTr="007C6461">
        <w:tc>
          <w:tcPr>
            <w:tcW w:w="2950" w:type="dxa"/>
          </w:tcPr>
          <w:p w:rsidR="00360B31" w:rsidRPr="009E7586" w:rsidRDefault="00360B31" w:rsidP="007C6461">
            <w:pPr>
              <w:rPr>
                <w:sz w:val="20"/>
              </w:rPr>
            </w:pPr>
            <w:r w:rsidRPr="009E7586">
              <w:rPr>
                <w:sz w:val="20"/>
              </w:rPr>
              <w:t>Minor road</w:t>
            </w:r>
          </w:p>
        </w:tc>
        <w:tc>
          <w:tcPr>
            <w:tcW w:w="2370" w:type="dxa"/>
          </w:tcPr>
          <w:p w:rsidR="00360B31" w:rsidRPr="009E7586" w:rsidRDefault="00360B31" w:rsidP="007C6461">
            <w:pPr>
              <w:rPr>
                <w:sz w:val="20"/>
              </w:rPr>
            </w:pPr>
            <w:r w:rsidRPr="009E7586">
              <w:rPr>
                <w:sz w:val="20"/>
              </w:rPr>
              <w:t>100</w:t>
            </w:r>
          </w:p>
        </w:tc>
        <w:tc>
          <w:tcPr>
            <w:tcW w:w="2217" w:type="dxa"/>
          </w:tcPr>
          <w:p w:rsidR="00360B31" w:rsidRPr="009E7586" w:rsidRDefault="00360B31" w:rsidP="007C6461">
            <w:pPr>
              <w:rPr>
                <w:sz w:val="20"/>
              </w:rPr>
            </w:pPr>
            <w:r w:rsidRPr="009E7586">
              <w:rPr>
                <w:sz w:val="20"/>
              </w:rPr>
              <w:t>0.1</w:t>
            </w:r>
          </w:p>
        </w:tc>
        <w:tc>
          <w:tcPr>
            <w:tcW w:w="2039" w:type="dxa"/>
          </w:tcPr>
          <w:p w:rsidR="00360B31" w:rsidRPr="009E7586" w:rsidRDefault="00360B31" w:rsidP="007C6461">
            <w:pPr>
              <w:rPr>
                <w:sz w:val="20"/>
              </w:rPr>
            </w:pPr>
            <w:r w:rsidRPr="009E7586">
              <w:rPr>
                <w:sz w:val="20"/>
              </w:rPr>
              <w:t>0.5</w:t>
            </w:r>
          </w:p>
        </w:tc>
      </w:tr>
      <w:tr w:rsidR="00360B31" w:rsidTr="007C6461">
        <w:tc>
          <w:tcPr>
            <w:tcW w:w="2950" w:type="dxa"/>
          </w:tcPr>
          <w:p w:rsidR="00360B31" w:rsidRPr="009E7586" w:rsidRDefault="00360B31" w:rsidP="007C6461">
            <w:pPr>
              <w:rPr>
                <w:sz w:val="20"/>
              </w:rPr>
            </w:pPr>
            <w:r w:rsidRPr="009E7586">
              <w:rPr>
                <w:sz w:val="20"/>
              </w:rPr>
              <w:t>Inblock road</w:t>
            </w:r>
          </w:p>
        </w:tc>
        <w:tc>
          <w:tcPr>
            <w:tcW w:w="2370" w:type="dxa"/>
          </w:tcPr>
          <w:p w:rsidR="00360B31" w:rsidRPr="009E7586" w:rsidRDefault="00360B31" w:rsidP="007C6461">
            <w:pPr>
              <w:rPr>
                <w:sz w:val="20"/>
              </w:rPr>
            </w:pPr>
            <w:r w:rsidRPr="009E7586">
              <w:rPr>
                <w:sz w:val="20"/>
              </w:rPr>
              <w:t>100</w:t>
            </w:r>
          </w:p>
        </w:tc>
        <w:tc>
          <w:tcPr>
            <w:tcW w:w="2217" w:type="dxa"/>
          </w:tcPr>
          <w:p w:rsidR="00360B31" w:rsidRPr="009E7586" w:rsidRDefault="00360B31" w:rsidP="007C6461">
            <w:pPr>
              <w:rPr>
                <w:sz w:val="20"/>
              </w:rPr>
            </w:pPr>
            <w:r w:rsidRPr="009E7586">
              <w:rPr>
                <w:sz w:val="20"/>
              </w:rPr>
              <w:t>0.1</w:t>
            </w:r>
          </w:p>
        </w:tc>
        <w:tc>
          <w:tcPr>
            <w:tcW w:w="2039" w:type="dxa"/>
          </w:tcPr>
          <w:p w:rsidR="00360B31" w:rsidRPr="009E7586" w:rsidRDefault="00360B31" w:rsidP="007C6461">
            <w:pPr>
              <w:rPr>
                <w:sz w:val="20"/>
              </w:rPr>
            </w:pPr>
            <w:r w:rsidRPr="009E7586">
              <w:rPr>
                <w:sz w:val="20"/>
              </w:rPr>
              <w:t>0.5</w:t>
            </w:r>
          </w:p>
        </w:tc>
      </w:tr>
      <w:tr w:rsidR="00360B31" w:rsidTr="007C6461">
        <w:tc>
          <w:tcPr>
            <w:tcW w:w="2950" w:type="dxa"/>
          </w:tcPr>
          <w:p w:rsidR="00360B31" w:rsidRPr="009E7586" w:rsidRDefault="00360B31" w:rsidP="007C6461">
            <w:pPr>
              <w:rPr>
                <w:sz w:val="20"/>
              </w:rPr>
            </w:pPr>
            <w:r w:rsidRPr="009E7586">
              <w:rPr>
                <w:sz w:val="20"/>
              </w:rPr>
              <w:t>Transmission corridor</w:t>
            </w:r>
          </w:p>
        </w:tc>
        <w:tc>
          <w:tcPr>
            <w:tcW w:w="2370" w:type="dxa"/>
          </w:tcPr>
          <w:p w:rsidR="00360B31" w:rsidRPr="009E7586" w:rsidRDefault="00360B31" w:rsidP="007C6461">
            <w:pPr>
              <w:rPr>
                <w:sz w:val="20"/>
              </w:rPr>
            </w:pPr>
            <w:r w:rsidRPr="009E7586">
              <w:rPr>
                <w:sz w:val="20"/>
              </w:rPr>
              <w:t>100</w:t>
            </w:r>
          </w:p>
        </w:tc>
        <w:tc>
          <w:tcPr>
            <w:tcW w:w="2217" w:type="dxa"/>
          </w:tcPr>
          <w:p w:rsidR="00360B31" w:rsidRPr="009E7586" w:rsidRDefault="00360B31" w:rsidP="007C6461">
            <w:pPr>
              <w:rPr>
                <w:sz w:val="20"/>
              </w:rPr>
            </w:pPr>
            <w:r w:rsidRPr="009E7586">
              <w:rPr>
                <w:sz w:val="20"/>
              </w:rPr>
              <w:t>0.1</w:t>
            </w:r>
          </w:p>
        </w:tc>
        <w:tc>
          <w:tcPr>
            <w:tcW w:w="2039" w:type="dxa"/>
          </w:tcPr>
          <w:p w:rsidR="00360B31" w:rsidRPr="009E7586" w:rsidRDefault="00360B31" w:rsidP="007C6461">
            <w:pPr>
              <w:rPr>
                <w:sz w:val="20"/>
              </w:rPr>
            </w:pPr>
            <w:r w:rsidRPr="009E7586">
              <w:rPr>
                <w:sz w:val="20"/>
              </w:rPr>
              <w:t>0.5</w:t>
            </w:r>
          </w:p>
        </w:tc>
      </w:tr>
      <w:tr w:rsidR="00360B31" w:rsidTr="007C6461">
        <w:tc>
          <w:tcPr>
            <w:tcW w:w="2950" w:type="dxa"/>
          </w:tcPr>
          <w:p w:rsidR="00360B31" w:rsidRPr="009E7586" w:rsidRDefault="00360B31" w:rsidP="007C6461">
            <w:pPr>
              <w:rPr>
                <w:sz w:val="20"/>
              </w:rPr>
            </w:pPr>
            <w:r w:rsidRPr="009E7586">
              <w:rPr>
                <w:sz w:val="20"/>
              </w:rPr>
              <w:t>Pipeline</w:t>
            </w:r>
          </w:p>
        </w:tc>
        <w:tc>
          <w:tcPr>
            <w:tcW w:w="2370" w:type="dxa"/>
          </w:tcPr>
          <w:p w:rsidR="00360B31" w:rsidRPr="009E7586" w:rsidRDefault="00360B31" w:rsidP="007C6461">
            <w:pPr>
              <w:rPr>
                <w:sz w:val="20"/>
              </w:rPr>
            </w:pPr>
            <w:r w:rsidRPr="009E7586">
              <w:rPr>
                <w:sz w:val="20"/>
              </w:rPr>
              <w:t>100</w:t>
            </w:r>
          </w:p>
        </w:tc>
        <w:tc>
          <w:tcPr>
            <w:tcW w:w="2217" w:type="dxa"/>
          </w:tcPr>
          <w:p w:rsidR="00360B31" w:rsidRPr="009E7586" w:rsidRDefault="00360B31" w:rsidP="007C6461">
            <w:pPr>
              <w:rPr>
                <w:sz w:val="20"/>
              </w:rPr>
            </w:pPr>
            <w:r w:rsidRPr="009E7586">
              <w:rPr>
                <w:sz w:val="20"/>
              </w:rPr>
              <w:t>0.1</w:t>
            </w:r>
          </w:p>
        </w:tc>
        <w:tc>
          <w:tcPr>
            <w:tcW w:w="2039" w:type="dxa"/>
          </w:tcPr>
          <w:p w:rsidR="00360B31" w:rsidRPr="009E7586" w:rsidRDefault="00360B31" w:rsidP="007C6461">
            <w:pPr>
              <w:rPr>
                <w:sz w:val="20"/>
              </w:rPr>
            </w:pPr>
            <w:r w:rsidRPr="009E7586">
              <w:rPr>
                <w:sz w:val="20"/>
              </w:rPr>
              <w:t>0.5</w:t>
            </w:r>
          </w:p>
        </w:tc>
      </w:tr>
      <w:tr w:rsidR="00360B31" w:rsidTr="007C6461">
        <w:tc>
          <w:tcPr>
            <w:tcW w:w="2950" w:type="dxa"/>
          </w:tcPr>
          <w:p w:rsidR="00360B31" w:rsidRPr="009E7586" w:rsidRDefault="00360B31" w:rsidP="007C6461">
            <w:pPr>
              <w:rPr>
                <w:sz w:val="20"/>
              </w:rPr>
            </w:pPr>
            <w:r w:rsidRPr="009E7586">
              <w:rPr>
                <w:sz w:val="20"/>
              </w:rPr>
              <w:t>Seismic</w:t>
            </w:r>
          </w:p>
        </w:tc>
        <w:tc>
          <w:tcPr>
            <w:tcW w:w="2370" w:type="dxa"/>
          </w:tcPr>
          <w:p w:rsidR="00360B31" w:rsidRPr="009E7586" w:rsidRDefault="00360B31" w:rsidP="007C6461">
            <w:pPr>
              <w:rPr>
                <w:sz w:val="20"/>
              </w:rPr>
            </w:pPr>
            <w:r w:rsidRPr="009E7586">
              <w:rPr>
                <w:sz w:val="20"/>
              </w:rPr>
              <w:t>100</w:t>
            </w:r>
          </w:p>
        </w:tc>
        <w:tc>
          <w:tcPr>
            <w:tcW w:w="2217" w:type="dxa"/>
          </w:tcPr>
          <w:p w:rsidR="00360B31" w:rsidRPr="009E7586" w:rsidRDefault="00360B31" w:rsidP="007C6461">
            <w:pPr>
              <w:rPr>
                <w:sz w:val="20"/>
              </w:rPr>
            </w:pPr>
            <w:r w:rsidRPr="009E7586">
              <w:rPr>
                <w:sz w:val="20"/>
              </w:rPr>
              <w:t>0.1</w:t>
            </w:r>
          </w:p>
        </w:tc>
        <w:tc>
          <w:tcPr>
            <w:tcW w:w="2039" w:type="dxa"/>
          </w:tcPr>
          <w:p w:rsidR="00360B31" w:rsidRPr="009E7586" w:rsidRDefault="00360B31" w:rsidP="007C6461">
            <w:pPr>
              <w:rPr>
                <w:sz w:val="20"/>
              </w:rPr>
            </w:pPr>
            <w:r w:rsidRPr="009E7586">
              <w:rPr>
                <w:sz w:val="20"/>
              </w:rPr>
              <w:t>0.5</w:t>
            </w:r>
          </w:p>
        </w:tc>
      </w:tr>
      <w:tr w:rsidR="00360B31" w:rsidTr="007C6461">
        <w:tc>
          <w:tcPr>
            <w:tcW w:w="2950" w:type="dxa"/>
          </w:tcPr>
          <w:p w:rsidR="00360B31" w:rsidRPr="009E7586" w:rsidRDefault="00360B31" w:rsidP="007C6461">
            <w:pPr>
              <w:rPr>
                <w:sz w:val="20"/>
              </w:rPr>
            </w:pPr>
            <w:r w:rsidRPr="009E7586">
              <w:rPr>
                <w:sz w:val="20"/>
              </w:rPr>
              <w:t>Wellsite</w:t>
            </w:r>
          </w:p>
        </w:tc>
        <w:tc>
          <w:tcPr>
            <w:tcW w:w="2370" w:type="dxa"/>
          </w:tcPr>
          <w:p w:rsidR="00360B31" w:rsidRPr="009E7586" w:rsidRDefault="00360B31" w:rsidP="007C6461">
            <w:pPr>
              <w:rPr>
                <w:sz w:val="20"/>
              </w:rPr>
            </w:pPr>
            <w:r w:rsidRPr="009E7586">
              <w:rPr>
                <w:sz w:val="20"/>
              </w:rPr>
              <w:t>100</w:t>
            </w:r>
          </w:p>
        </w:tc>
        <w:tc>
          <w:tcPr>
            <w:tcW w:w="2217" w:type="dxa"/>
          </w:tcPr>
          <w:p w:rsidR="00360B31" w:rsidRPr="009E7586" w:rsidRDefault="00360B31" w:rsidP="007C6461">
            <w:pPr>
              <w:rPr>
                <w:sz w:val="20"/>
              </w:rPr>
            </w:pPr>
            <w:r w:rsidRPr="009E7586">
              <w:rPr>
                <w:sz w:val="20"/>
              </w:rPr>
              <w:t>0.1</w:t>
            </w:r>
          </w:p>
        </w:tc>
        <w:tc>
          <w:tcPr>
            <w:tcW w:w="2039" w:type="dxa"/>
          </w:tcPr>
          <w:p w:rsidR="00360B31" w:rsidRPr="009E7586" w:rsidRDefault="00360B31" w:rsidP="007C6461">
            <w:pPr>
              <w:rPr>
                <w:sz w:val="20"/>
              </w:rPr>
            </w:pPr>
            <w:r w:rsidRPr="009E7586">
              <w:rPr>
                <w:sz w:val="20"/>
              </w:rPr>
              <w:t>0.5</w:t>
            </w:r>
          </w:p>
        </w:tc>
      </w:tr>
      <w:tr w:rsidR="00360B31" w:rsidTr="007C6461">
        <w:tc>
          <w:tcPr>
            <w:tcW w:w="2950" w:type="dxa"/>
          </w:tcPr>
          <w:p w:rsidR="00360B31" w:rsidRPr="009E7586" w:rsidRDefault="00360B31" w:rsidP="007C6461">
            <w:pPr>
              <w:rPr>
                <w:sz w:val="20"/>
              </w:rPr>
            </w:pPr>
            <w:r w:rsidRPr="009E7586">
              <w:rPr>
                <w:sz w:val="20"/>
              </w:rPr>
              <w:t>Industrial plant</w:t>
            </w:r>
          </w:p>
        </w:tc>
        <w:tc>
          <w:tcPr>
            <w:tcW w:w="2370" w:type="dxa"/>
          </w:tcPr>
          <w:p w:rsidR="00360B31" w:rsidRPr="009E7586" w:rsidRDefault="00360B31" w:rsidP="007C6461">
            <w:pPr>
              <w:rPr>
                <w:sz w:val="20"/>
              </w:rPr>
            </w:pPr>
            <w:r w:rsidRPr="009E7586">
              <w:rPr>
                <w:sz w:val="20"/>
              </w:rPr>
              <w:t>100</w:t>
            </w:r>
          </w:p>
        </w:tc>
        <w:tc>
          <w:tcPr>
            <w:tcW w:w="2217" w:type="dxa"/>
          </w:tcPr>
          <w:p w:rsidR="00360B31" w:rsidRPr="009E7586" w:rsidRDefault="00360B31" w:rsidP="007C6461">
            <w:pPr>
              <w:rPr>
                <w:sz w:val="20"/>
              </w:rPr>
            </w:pPr>
            <w:r w:rsidRPr="009E7586">
              <w:rPr>
                <w:sz w:val="20"/>
              </w:rPr>
              <w:t>0.1</w:t>
            </w:r>
          </w:p>
        </w:tc>
        <w:tc>
          <w:tcPr>
            <w:tcW w:w="2039" w:type="dxa"/>
          </w:tcPr>
          <w:p w:rsidR="00360B31" w:rsidRPr="009E7586" w:rsidRDefault="00360B31" w:rsidP="007C6461">
            <w:pPr>
              <w:rPr>
                <w:sz w:val="20"/>
              </w:rPr>
            </w:pPr>
            <w:r w:rsidRPr="009E7586">
              <w:rPr>
                <w:sz w:val="20"/>
              </w:rPr>
              <w:t>0.5</w:t>
            </w:r>
          </w:p>
        </w:tc>
      </w:tr>
      <w:tr w:rsidR="00360B31" w:rsidTr="007C6461">
        <w:tc>
          <w:tcPr>
            <w:tcW w:w="2950" w:type="dxa"/>
          </w:tcPr>
          <w:p w:rsidR="00360B31" w:rsidRPr="009E7586" w:rsidRDefault="00360B31" w:rsidP="007C6461">
            <w:pPr>
              <w:rPr>
                <w:sz w:val="20"/>
              </w:rPr>
            </w:pPr>
            <w:r w:rsidRPr="009E7586">
              <w:rPr>
                <w:sz w:val="20"/>
              </w:rPr>
              <w:t>Oilsands mine</w:t>
            </w:r>
          </w:p>
        </w:tc>
        <w:tc>
          <w:tcPr>
            <w:tcW w:w="2370" w:type="dxa"/>
          </w:tcPr>
          <w:p w:rsidR="00360B31" w:rsidRPr="009E7586" w:rsidRDefault="00360B31" w:rsidP="007C6461">
            <w:pPr>
              <w:rPr>
                <w:sz w:val="20"/>
              </w:rPr>
            </w:pPr>
            <w:r w:rsidRPr="009E7586">
              <w:rPr>
                <w:sz w:val="20"/>
              </w:rPr>
              <w:t>100</w:t>
            </w:r>
          </w:p>
        </w:tc>
        <w:tc>
          <w:tcPr>
            <w:tcW w:w="2217" w:type="dxa"/>
          </w:tcPr>
          <w:p w:rsidR="00360B31" w:rsidRPr="009E7586" w:rsidRDefault="00360B31" w:rsidP="007C6461">
            <w:pPr>
              <w:rPr>
                <w:sz w:val="20"/>
              </w:rPr>
            </w:pPr>
            <w:r w:rsidRPr="009E7586">
              <w:rPr>
                <w:sz w:val="20"/>
              </w:rPr>
              <w:t>0.1</w:t>
            </w:r>
          </w:p>
        </w:tc>
        <w:tc>
          <w:tcPr>
            <w:tcW w:w="2039" w:type="dxa"/>
          </w:tcPr>
          <w:p w:rsidR="00360B31" w:rsidRPr="009E7586" w:rsidRDefault="00360B31" w:rsidP="007C6461">
            <w:pPr>
              <w:rPr>
                <w:sz w:val="20"/>
              </w:rPr>
            </w:pPr>
            <w:r w:rsidRPr="009E7586">
              <w:rPr>
                <w:sz w:val="20"/>
              </w:rPr>
              <w:t>0.5</w:t>
            </w:r>
          </w:p>
        </w:tc>
      </w:tr>
      <w:tr w:rsidR="00360B31" w:rsidTr="007C6461">
        <w:tc>
          <w:tcPr>
            <w:tcW w:w="2950" w:type="dxa"/>
          </w:tcPr>
          <w:p w:rsidR="00360B31" w:rsidRPr="009E7586" w:rsidRDefault="00360B31" w:rsidP="007C6461">
            <w:pPr>
              <w:rPr>
                <w:sz w:val="20"/>
              </w:rPr>
            </w:pPr>
            <w:r w:rsidRPr="009E7586">
              <w:rPr>
                <w:sz w:val="20"/>
              </w:rPr>
              <w:t>Gravel pits</w:t>
            </w:r>
          </w:p>
        </w:tc>
        <w:tc>
          <w:tcPr>
            <w:tcW w:w="2370" w:type="dxa"/>
          </w:tcPr>
          <w:p w:rsidR="00360B31" w:rsidRPr="009E7586" w:rsidRDefault="00360B31" w:rsidP="007C6461">
            <w:pPr>
              <w:rPr>
                <w:sz w:val="20"/>
              </w:rPr>
            </w:pPr>
            <w:r w:rsidRPr="009E7586">
              <w:rPr>
                <w:sz w:val="20"/>
              </w:rPr>
              <w:t>100</w:t>
            </w:r>
          </w:p>
        </w:tc>
        <w:tc>
          <w:tcPr>
            <w:tcW w:w="2217" w:type="dxa"/>
          </w:tcPr>
          <w:p w:rsidR="00360B31" w:rsidRPr="009E7586" w:rsidRDefault="00360B31" w:rsidP="007C6461">
            <w:pPr>
              <w:rPr>
                <w:sz w:val="20"/>
              </w:rPr>
            </w:pPr>
            <w:r w:rsidRPr="009E7586">
              <w:rPr>
                <w:sz w:val="20"/>
              </w:rPr>
              <w:t>0.1</w:t>
            </w:r>
          </w:p>
        </w:tc>
        <w:tc>
          <w:tcPr>
            <w:tcW w:w="2039" w:type="dxa"/>
          </w:tcPr>
          <w:p w:rsidR="00360B31" w:rsidRPr="009E7586" w:rsidRDefault="00360B31" w:rsidP="007C6461">
            <w:pPr>
              <w:rPr>
                <w:sz w:val="20"/>
              </w:rPr>
            </w:pPr>
            <w:r w:rsidRPr="009E7586">
              <w:rPr>
                <w:sz w:val="20"/>
              </w:rPr>
              <w:t>0.5</w:t>
            </w:r>
          </w:p>
        </w:tc>
      </w:tr>
      <w:tr w:rsidR="00360B31" w:rsidTr="007C6461">
        <w:tc>
          <w:tcPr>
            <w:tcW w:w="2950" w:type="dxa"/>
          </w:tcPr>
          <w:p w:rsidR="00360B31" w:rsidRPr="009E7586" w:rsidRDefault="00360B31" w:rsidP="007C6461">
            <w:pPr>
              <w:rPr>
                <w:sz w:val="20"/>
              </w:rPr>
            </w:pPr>
            <w:r w:rsidRPr="009E7586">
              <w:rPr>
                <w:sz w:val="20"/>
              </w:rPr>
              <w:t>Settlements</w:t>
            </w:r>
          </w:p>
        </w:tc>
        <w:tc>
          <w:tcPr>
            <w:tcW w:w="2370" w:type="dxa"/>
          </w:tcPr>
          <w:p w:rsidR="00360B31" w:rsidRPr="009E7586" w:rsidRDefault="00360B31" w:rsidP="007C6461">
            <w:pPr>
              <w:rPr>
                <w:sz w:val="20"/>
              </w:rPr>
            </w:pPr>
            <w:r w:rsidRPr="009E7586">
              <w:rPr>
                <w:sz w:val="20"/>
              </w:rPr>
              <w:t>100</w:t>
            </w:r>
          </w:p>
        </w:tc>
        <w:tc>
          <w:tcPr>
            <w:tcW w:w="2217" w:type="dxa"/>
          </w:tcPr>
          <w:p w:rsidR="00360B31" w:rsidRPr="009E7586" w:rsidRDefault="00360B31" w:rsidP="007C6461">
            <w:pPr>
              <w:rPr>
                <w:sz w:val="20"/>
              </w:rPr>
            </w:pPr>
            <w:r w:rsidRPr="009E7586">
              <w:rPr>
                <w:sz w:val="20"/>
              </w:rPr>
              <w:t>0.1</w:t>
            </w:r>
          </w:p>
        </w:tc>
        <w:tc>
          <w:tcPr>
            <w:tcW w:w="2039" w:type="dxa"/>
          </w:tcPr>
          <w:p w:rsidR="00360B31" w:rsidRPr="009E7586" w:rsidRDefault="00360B31" w:rsidP="007C6461">
            <w:pPr>
              <w:rPr>
                <w:sz w:val="20"/>
              </w:rPr>
            </w:pPr>
            <w:r w:rsidRPr="009E7586">
              <w:rPr>
                <w:sz w:val="20"/>
              </w:rPr>
              <w:t>0.1</w:t>
            </w:r>
          </w:p>
        </w:tc>
      </w:tr>
      <w:tr w:rsidR="00360B31" w:rsidTr="007C6461">
        <w:tc>
          <w:tcPr>
            <w:tcW w:w="2950" w:type="dxa"/>
          </w:tcPr>
          <w:p w:rsidR="00360B31" w:rsidRPr="009E7586" w:rsidRDefault="00360B31" w:rsidP="007C6461">
            <w:pPr>
              <w:rPr>
                <w:sz w:val="20"/>
              </w:rPr>
            </w:pPr>
            <w:r w:rsidRPr="009E7586">
              <w:rPr>
                <w:sz w:val="20"/>
              </w:rPr>
              <w:t>Rural residential/camp</w:t>
            </w:r>
          </w:p>
        </w:tc>
        <w:tc>
          <w:tcPr>
            <w:tcW w:w="2370" w:type="dxa"/>
          </w:tcPr>
          <w:p w:rsidR="00360B31" w:rsidRPr="009E7586" w:rsidRDefault="00360B31" w:rsidP="007C6461">
            <w:pPr>
              <w:rPr>
                <w:sz w:val="20"/>
              </w:rPr>
            </w:pPr>
            <w:r w:rsidRPr="009E7586">
              <w:rPr>
                <w:sz w:val="20"/>
              </w:rPr>
              <w:t>100</w:t>
            </w:r>
          </w:p>
        </w:tc>
        <w:tc>
          <w:tcPr>
            <w:tcW w:w="2217" w:type="dxa"/>
          </w:tcPr>
          <w:p w:rsidR="00360B31" w:rsidRPr="009E7586" w:rsidRDefault="00360B31" w:rsidP="007C6461">
            <w:pPr>
              <w:rPr>
                <w:sz w:val="20"/>
              </w:rPr>
            </w:pPr>
            <w:r w:rsidRPr="009E7586">
              <w:rPr>
                <w:sz w:val="20"/>
              </w:rPr>
              <w:t>0.1</w:t>
            </w:r>
          </w:p>
        </w:tc>
        <w:tc>
          <w:tcPr>
            <w:tcW w:w="2039" w:type="dxa"/>
          </w:tcPr>
          <w:p w:rsidR="00360B31" w:rsidRPr="009E7586" w:rsidRDefault="00360B31" w:rsidP="007C6461">
            <w:pPr>
              <w:rPr>
                <w:sz w:val="20"/>
              </w:rPr>
            </w:pPr>
            <w:r w:rsidRPr="009E7586">
              <w:rPr>
                <w:sz w:val="20"/>
              </w:rPr>
              <w:t>0.1</w:t>
            </w:r>
          </w:p>
        </w:tc>
      </w:tr>
    </w:tbl>
    <w:p w:rsidR="00360B31" w:rsidRDefault="00360B31" w:rsidP="00360B31"/>
    <w:p w:rsidR="00360B31" w:rsidRDefault="00360B31" w:rsidP="00360B31">
      <w:pPr>
        <w:pStyle w:val="Caption"/>
        <w:keepNext/>
      </w:pPr>
      <w:bookmarkStart w:id="288" w:name="_Ref326262190"/>
      <w:bookmarkStart w:id="289" w:name="_Toc301950414"/>
      <w:bookmarkStart w:id="290" w:name="_Toc338703773"/>
      <w:proofErr w:type="gramStart"/>
      <w:r>
        <w:t xml:space="preserve">Table </w:t>
      </w:r>
      <w:r w:rsidR="00575CA7">
        <w:fldChar w:fldCharType="begin"/>
      </w:r>
      <w:r w:rsidR="00D75024">
        <w:instrText xml:space="preserve"> SEQ Table \* ARABIC </w:instrText>
      </w:r>
      <w:r w:rsidR="00575CA7">
        <w:fldChar w:fldCharType="separate"/>
      </w:r>
      <w:r w:rsidR="002B4C72">
        <w:rPr>
          <w:noProof/>
        </w:rPr>
        <w:t>9</w:t>
      </w:r>
      <w:r w:rsidR="00575CA7">
        <w:fldChar w:fldCharType="end"/>
      </w:r>
      <w:bookmarkEnd w:id="288"/>
      <w:r>
        <w:t>.</w:t>
      </w:r>
      <w:proofErr w:type="gramEnd"/>
      <w:r>
        <w:t xml:space="preserve"> </w:t>
      </w:r>
      <w:proofErr w:type="gramStart"/>
      <w:r>
        <w:t>Habitat quality by age class for fisher.</w:t>
      </w:r>
      <w:bookmarkEnd w:id="289"/>
      <w:bookmarkEnd w:id="290"/>
      <w:proofErr w:type="gramEnd"/>
    </w:p>
    <w:tbl>
      <w:tblPr>
        <w:tblStyle w:val="TableGrid"/>
        <w:tblW w:w="0" w:type="auto"/>
        <w:tblLook w:val="04A0"/>
      </w:tblPr>
      <w:tblGrid>
        <w:gridCol w:w="4505"/>
        <w:gridCol w:w="4711"/>
      </w:tblGrid>
      <w:tr w:rsidR="00360B31" w:rsidTr="007C6461">
        <w:tc>
          <w:tcPr>
            <w:tcW w:w="4788" w:type="dxa"/>
          </w:tcPr>
          <w:p w:rsidR="00360B31" w:rsidRPr="009E7586" w:rsidRDefault="00360B31" w:rsidP="007C6461">
            <w:pPr>
              <w:rPr>
                <w:sz w:val="20"/>
              </w:rPr>
            </w:pPr>
            <w:r w:rsidRPr="009E7586">
              <w:rPr>
                <w:sz w:val="20"/>
              </w:rPr>
              <w:t>Forest age class</w:t>
            </w:r>
          </w:p>
        </w:tc>
        <w:tc>
          <w:tcPr>
            <w:tcW w:w="4788" w:type="dxa"/>
          </w:tcPr>
          <w:p w:rsidR="00360B31" w:rsidRPr="009E7586" w:rsidRDefault="00360B31" w:rsidP="007C6461">
            <w:pPr>
              <w:rPr>
                <w:sz w:val="20"/>
              </w:rPr>
            </w:pPr>
            <w:r w:rsidRPr="009E7586">
              <w:rPr>
                <w:sz w:val="20"/>
              </w:rPr>
              <w:t>Habitat quality</w:t>
            </w:r>
          </w:p>
        </w:tc>
      </w:tr>
      <w:tr w:rsidR="00360B31" w:rsidTr="007C6461">
        <w:tc>
          <w:tcPr>
            <w:tcW w:w="4788" w:type="dxa"/>
          </w:tcPr>
          <w:p w:rsidR="00360B31" w:rsidRPr="009E7586" w:rsidRDefault="00360B31" w:rsidP="007C6461">
            <w:pPr>
              <w:rPr>
                <w:sz w:val="20"/>
              </w:rPr>
            </w:pPr>
            <w:r w:rsidRPr="009E7586">
              <w:rPr>
                <w:sz w:val="20"/>
              </w:rPr>
              <w:t>0-20</w:t>
            </w:r>
          </w:p>
        </w:tc>
        <w:tc>
          <w:tcPr>
            <w:tcW w:w="4788" w:type="dxa"/>
          </w:tcPr>
          <w:p w:rsidR="00360B31" w:rsidRPr="009E7586" w:rsidRDefault="00360B31" w:rsidP="00793B35">
            <w:pPr>
              <w:ind w:right="3111"/>
              <w:jc w:val="right"/>
              <w:rPr>
                <w:sz w:val="20"/>
              </w:rPr>
            </w:pPr>
            <w:r w:rsidRPr="009E7586">
              <w:rPr>
                <w:sz w:val="20"/>
              </w:rPr>
              <w:t>0</w:t>
            </w:r>
            <w:r w:rsidR="00793B35" w:rsidRPr="009E7586">
              <w:rPr>
                <w:sz w:val="20"/>
              </w:rPr>
              <w:t>.00</w:t>
            </w:r>
          </w:p>
        </w:tc>
      </w:tr>
      <w:tr w:rsidR="00360B31" w:rsidTr="007C6461">
        <w:tc>
          <w:tcPr>
            <w:tcW w:w="4788" w:type="dxa"/>
          </w:tcPr>
          <w:p w:rsidR="00360B31" w:rsidRPr="009E7586" w:rsidRDefault="00360B31" w:rsidP="007C6461">
            <w:pPr>
              <w:rPr>
                <w:sz w:val="20"/>
              </w:rPr>
            </w:pPr>
            <w:r w:rsidRPr="009E7586">
              <w:rPr>
                <w:sz w:val="20"/>
              </w:rPr>
              <w:t>21-40</w:t>
            </w:r>
          </w:p>
        </w:tc>
        <w:tc>
          <w:tcPr>
            <w:tcW w:w="4788" w:type="dxa"/>
          </w:tcPr>
          <w:p w:rsidR="00360B31" w:rsidRPr="009E7586" w:rsidRDefault="00360B31" w:rsidP="00793B35">
            <w:pPr>
              <w:ind w:right="3111"/>
              <w:jc w:val="right"/>
              <w:rPr>
                <w:sz w:val="20"/>
              </w:rPr>
            </w:pPr>
            <w:r w:rsidRPr="009E7586">
              <w:rPr>
                <w:sz w:val="20"/>
              </w:rPr>
              <w:t>0</w:t>
            </w:r>
            <w:r w:rsidR="00793B35" w:rsidRPr="009E7586">
              <w:rPr>
                <w:sz w:val="20"/>
              </w:rPr>
              <w:t>.00</w:t>
            </w:r>
          </w:p>
        </w:tc>
      </w:tr>
      <w:tr w:rsidR="00360B31" w:rsidTr="007C6461">
        <w:tc>
          <w:tcPr>
            <w:tcW w:w="4788" w:type="dxa"/>
          </w:tcPr>
          <w:p w:rsidR="00360B31" w:rsidRPr="009E7586" w:rsidRDefault="00360B31" w:rsidP="007C6461">
            <w:pPr>
              <w:rPr>
                <w:sz w:val="20"/>
              </w:rPr>
            </w:pPr>
            <w:r w:rsidRPr="009E7586">
              <w:rPr>
                <w:sz w:val="20"/>
              </w:rPr>
              <w:t>41-60</w:t>
            </w:r>
          </w:p>
        </w:tc>
        <w:tc>
          <w:tcPr>
            <w:tcW w:w="4788" w:type="dxa"/>
          </w:tcPr>
          <w:p w:rsidR="00360B31" w:rsidRPr="009E7586" w:rsidRDefault="00360B31" w:rsidP="00793B35">
            <w:pPr>
              <w:ind w:right="3111"/>
              <w:jc w:val="right"/>
              <w:rPr>
                <w:sz w:val="20"/>
              </w:rPr>
            </w:pPr>
            <w:r w:rsidRPr="009E7586">
              <w:rPr>
                <w:sz w:val="20"/>
              </w:rPr>
              <w:t>0.4</w:t>
            </w:r>
            <w:r w:rsidR="00793B35" w:rsidRPr="009E7586">
              <w:rPr>
                <w:sz w:val="20"/>
              </w:rPr>
              <w:t>0</w:t>
            </w:r>
          </w:p>
        </w:tc>
      </w:tr>
      <w:tr w:rsidR="00360B31" w:rsidTr="007C6461">
        <w:tc>
          <w:tcPr>
            <w:tcW w:w="4788" w:type="dxa"/>
          </w:tcPr>
          <w:p w:rsidR="00360B31" w:rsidRPr="009E7586" w:rsidRDefault="00360B31" w:rsidP="007C6461">
            <w:pPr>
              <w:rPr>
                <w:sz w:val="20"/>
              </w:rPr>
            </w:pPr>
            <w:r w:rsidRPr="009E7586">
              <w:rPr>
                <w:sz w:val="20"/>
              </w:rPr>
              <w:t>61-80</w:t>
            </w:r>
          </w:p>
        </w:tc>
        <w:tc>
          <w:tcPr>
            <w:tcW w:w="4788" w:type="dxa"/>
          </w:tcPr>
          <w:p w:rsidR="00360B31" w:rsidRPr="009E7586" w:rsidRDefault="00360B31" w:rsidP="00793B35">
            <w:pPr>
              <w:ind w:right="3111"/>
              <w:jc w:val="right"/>
              <w:rPr>
                <w:sz w:val="20"/>
              </w:rPr>
            </w:pPr>
            <w:r w:rsidRPr="009E7586">
              <w:rPr>
                <w:sz w:val="20"/>
              </w:rPr>
              <w:t>0.7</w:t>
            </w:r>
            <w:r w:rsidR="00793B35" w:rsidRPr="009E7586">
              <w:rPr>
                <w:sz w:val="20"/>
              </w:rPr>
              <w:t>0</w:t>
            </w:r>
          </w:p>
        </w:tc>
      </w:tr>
      <w:tr w:rsidR="00360B31" w:rsidTr="007C6461">
        <w:tc>
          <w:tcPr>
            <w:tcW w:w="4788" w:type="dxa"/>
          </w:tcPr>
          <w:p w:rsidR="00360B31" w:rsidRPr="009E7586" w:rsidRDefault="00360B31" w:rsidP="007C6461">
            <w:pPr>
              <w:rPr>
                <w:sz w:val="20"/>
              </w:rPr>
            </w:pPr>
            <w:r w:rsidRPr="009E7586">
              <w:rPr>
                <w:sz w:val="20"/>
              </w:rPr>
              <w:t>81-100</w:t>
            </w:r>
          </w:p>
        </w:tc>
        <w:tc>
          <w:tcPr>
            <w:tcW w:w="4788" w:type="dxa"/>
          </w:tcPr>
          <w:p w:rsidR="00360B31" w:rsidRPr="009E7586" w:rsidRDefault="00360B31" w:rsidP="00793B35">
            <w:pPr>
              <w:ind w:right="3111"/>
              <w:jc w:val="right"/>
              <w:rPr>
                <w:sz w:val="20"/>
              </w:rPr>
            </w:pPr>
            <w:r w:rsidRPr="009E7586">
              <w:rPr>
                <w:sz w:val="20"/>
              </w:rPr>
              <w:t>1</w:t>
            </w:r>
            <w:r w:rsidR="00793B35" w:rsidRPr="009E7586">
              <w:rPr>
                <w:sz w:val="20"/>
              </w:rPr>
              <w:t>.00</w:t>
            </w:r>
          </w:p>
        </w:tc>
      </w:tr>
      <w:tr w:rsidR="00360B31" w:rsidTr="007C6461">
        <w:tc>
          <w:tcPr>
            <w:tcW w:w="4788" w:type="dxa"/>
          </w:tcPr>
          <w:p w:rsidR="00360B31" w:rsidRPr="009E7586" w:rsidRDefault="00360B31" w:rsidP="007C6461">
            <w:pPr>
              <w:rPr>
                <w:sz w:val="20"/>
              </w:rPr>
            </w:pPr>
            <w:r w:rsidRPr="009E7586">
              <w:rPr>
                <w:sz w:val="20"/>
              </w:rPr>
              <w:t>101-120</w:t>
            </w:r>
          </w:p>
        </w:tc>
        <w:tc>
          <w:tcPr>
            <w:tcW w:w="4788" w:type="dxa"/>
          </w:tcPr>
          <w:p w:rsidR="00360B31" w:rsidRPr="009E7586" w:rsidRDefault="00360B31" w:rsidP="00793B35">
            <w:pPr>
              <w:ind w:right="3111"/>
              <w:jc w:val="right"/>
              <w:rPr>
                <w:sz w:val="20"/>
              </w:rPr>
            </w:pPr>
            <w:r w:rsidRPr="009E7586">
              <w:rPr>
                <w:sz w:val="20"/>
              </w:rPr>
              <w:t>1</w:t>
            </w:r>
            <w:r w:rsidR="00793B35" w:rsidRPr="009E7586">
              <w:rPr>
                <w:sz w:val="20"/>
              </w:rPr>
              <w:t>.00</w:t>
            </w:r>
          </w:p>
        </w:tc>
      </w:tr>
      <w:tr w:rsidR="00360B31" w:rsidTr="007C6461">
        <w:tc>
          <w:tcPr>
            <w:tcW w:w="4788" w:type="dxa"/>
          </w:tcPr>
          <w:p w:rsidR="00360B31" w:rsidRPr="009E7586" w:rsidRDefault="00360B31" w:rsidP="007C6461">
            <w:pPr>
              <w:rPr>
                <w:sz w:val="20"/>
              </w:rPr>
            </w:pPr>
            <w:r w:rsidRPr="009E7586">
              <w:rPr>
                <w:sz w:val="20"/>
              </w:rPr>
              <w:t>121-140</w:t>
            </w:r>
          </w:p>
        </w:tc>
        <w:tc>
          <w:tcPr>
            <w:tcW w:w="4788" w:type="dxa"/>
          </w:tcPr>
          <w:p w:rsidR="00360B31" w:rsidRPr="009E7586" w:rsidRDefault="00360B31" w:rsidP="00793B35">
            <w:pPr>
              <w:ind w:right="3111"/>
              <w:jc w:val="right"/>
              <w:rPr>
                <w:sz w:val="20"/>
              </w:rPr>
            </w:pPr>
            <w:r w:rsidRPr="009E7586">
              <w:rPr>
                <w:sz w:val="20"/>
              </w:rPr>
              <w:t>1</w:t>
            </w:r>
            <w:r w:rsidR="00793B35" w:rsidRPr="009E7586">
              <w:rPr>
                <w:sz w:val="20"/>
              </w:rPr>
              <w:t>.00</w:t>
            </w:r>
          </w:p>
        </w:tc>
      </w:tr>
      <w:tr w:rsidR="00360B31" w:rsidTr="007C6461">
        <w:tc>
          <w:tcPr>
            <w:tcW w:w="4788" w:type="dxa"/>
          </w:tcPr>
          <w:p w:rsidR="00360B31" w:rsidRPr="009E7586" w:rsidRDefault="00360B31" w:rsidP="007C6461">
            <w:pPr>
              <w:rPr>
                <w:sz w:val="20"/>
              </w:rPr>
            </w:pPr>
            <w:r w:rsidRPr="009E7586">
              <w:rPr>
                <w:sz w:val="20"/>
              </w:rPr>
              <w:t>141-160</w:t>
            </w:r>
          </w:p>
        </w:tc>
        <w:tc>
          <w:tcPr>
            <w:tcW w:w="4788" w:type="dxa"/>
          </w:tcPr>
          <w:p w:rsidR="00360B31" w:rsidRPr="009E7586" w:rsidRDefault="00360B31" w:rsidP="00793B35">
            <w:pPr>
              <w:ind w:right="3111"/>
              <w:jc w:val="right"/>
              <w:rPr>
                <w:sz w:val="20"/>
              </w:rPr>
            </w:pPr>
            <w:r w:rsidRPr="009E7586">
              <w:rPr>
                <w:sz w:val="20"/>
              </w:rPr>
              <w:t>1</w:t>
            </w:r>
            <w:r w:rsidR="00793B35" w:rsidRPr="009E7586">
              <w:rPr>
                <w:sz w:val="20"/>
              </w:rPr>
              <w:t>.00</w:t>
            </w:r>
          </w:p>
        </w:tc>
      </w:tr>
      <w:tr w:rsidR="00360B31" w:rsidTr="007C6461">
        <w:tc>
          <w:tcPr>
            <w:tcW w:w="4788" w:type="dxa"/>
          </w:tcPr>
          <w:p w:rsidR="00360B31" w:rsidRPr="009E7586" w:rsidRDefault="00360B31" w:rsidP="007C6461">
            <w:pPr>
              <w:rPr>
                <w:sz w:val="20"/>
              </w:rPr>
            </w:pPr>
            <w:r w:rsidRPr="009E7586">
              <w:rPr>
                <w:sz w:val="20"/>
              </w:rPr>
              <w:t>161-180</w:t>
            </w:r>
          </w:p>
        </w:tc>
        <w:tc>
          <w:tcPr>
            <w:tcW w:w="4788" w:type="dxa"/>
          </w:tcPr>
          <w:p w:rsidR="00360B31" w:rsidRPr="009E7586" w:rsidRDefault="00360B31" w:rsidP="00793B35">
            <w:pPr>
              <w:ind w:right="3111"/>
              <w:jc w:val="right"/>
              <w:rPr>
                <w:sz w:val="20"/>
              </w:rPr>
            </w:pPr>
            <w:r w:rsidRPr="009E7586">
              <w:rPr>
                <w:sz w:val="20"/>
              </w:rPr>
              <w:t>1</w:t>
            </w:r>
            <w:r w:rsidR="00793B35" w:rsidRPr="009E7586">
              <w:rPr>
                <w:sz w:val="20"/>
              </w:rPr>
              <w:t>.00</w:t>
            </w:r>
          </w:p>
        </w:tc>
      </w:tr>
      <w:tr w:rsidR="00360B31" w:rsidTr="007C6461">
        <w:tc>
          <w:tcPr>
            <w:tcW w:w="4788" w:type="dxa"/>
          </w:tcPr>
          <w:p w:rsidR="00360B31" w:rsidRPr="009E7586" w:rsidRDefault="00360B31" w:rsidP="007C6461">
            <w:pPr>
              <w:rPr>
                <w:sz w:val="20"/>
              </w:rPr>
            </w:pPr>
            <w:r w:rsidRPr="009E7586">
              <w:rPr>
                <w:sz w:val="20"/>
              </w:rPr>
              <w:t>&gt;180</w:t>
            </w:r>
          </w:p>
        </w:tc>
        <w:tc>
          <w:tcPr>
            <w:tcW w:w="4788" w:type="dxa"/>
          </w:tcPr>
          <w:p w:rsidR="00360B31" w:rsidRPr="009E7586" w:rsidRDefault="00360B31" w:rsidP="00793B35">
            <w:pPr>
              <w:ind w:right="3111"/>
              <w:jc w:val="right"/>
              <w:rPr>
                <w:sz w:val="20"/>
              </w:rPr>
            </w:pPr>
            <w:r w:rsidRPr="009E7586">
              <w:rPr>
                <w:sz w:val="20"/>
              </w:rPr>
              <w:t>1</w:t>
            </w:r>
            <w:r w:rsidR="00793B35" w:rsidRPr="009E7586">
              <w:rPr>
                <w:sz w:val="20"/>
              </w:rPr>
              <w:t>.00</w:t>
            </w:r>
          </w:p>
        </w:tc>
      </w:tr>
    </w:tbl>
    <w:p w:rsidR="00360B31" w:rsidRDefault="00360B31" w:rsidP="00BA01E7"/>
    <w:p w:rsidR="00BA01E7" w:rsidRDefault="00BA01E7" w:rsidP="008B40D4"/>
    <w:p w:rsidR="009E4F21" w:rsidRDefault="009E4F21" w:rsidP="002877C3">
      <w:pPr>
        <w:pStyle w:val="Heading3"/>
      </w:pPr>
      <w:bookmarkStart w:id="291" w:name="_Toc338703709"/>
      <w:r>
        <w:lastRenderedPageBreak/>
        <w:t>Index of Native Fish Integrity</w:t>
      </w:r>
      <w:bookmarkEnd w:id="291"/>
    </w:p>
    <w:p w:rsidR="002F4BF0" w:rsidRPr="00410AF6" w:rsidRDefault="002F4BF0" w:rsidP="002F4BF0">
      <w:pPr>
        <w:pStyle w:val="BodyText"/>
      </w:pPr>
      <w:r w:rsidRPr="00410AF6">
        <w:t xml:space="preserve">Fisheries management in Alberta is focussed on conservation of fish populations and habitat in light of increased angling pressure and use of aquatic ecosystems from a growing human population (ASRD 2006). Populations of sport fish in northeast </w:t>
      </w:r>
      <w:r>
        <w:t xml:space="preserve">and east central </w:t>
      </w:r>
      <w:r w:rsidRPr="00410AF6">
        <w:t xml:space="preserve">Alberta have been heavily affected by human activity. For example, Sullivan (2003) showed that angling pressure was nine times higher outside the CLAWR than at lakes inside the CLAWR, and that average catch rates of anglers dropped from 83% to 6%, respectively, between lakes inside and outside of the CLAWR. Similarly, alteration and direct loss of habitat and changes in water quality as a result of anthropogenic </w:t>
      </w:r>
      <w:r w:rsidR="00C544DE">
        <w:t>land-use</w:t>
      </w:r>
      <w:r w:rsidRPr="00410AF6">
        <w:t xml:space="preserve">s may also have an important effect on distribution and abundance of fish populations. </w:t>
      </w:r>
    </w:p>
    <w:p w:rsidR="002F4BF0" w:rsidRDefault="002F4BF0" w:rsidP="002F4BF0">
      <w:pPr>
        <w:pStyle w:val="BodyText"/>
      </w:pPr>
      <w:r w:rsidRPr="002C7A01">
        <w:rPr>
          <w:rStyle w:val="BodyTextChar"/>
        </w:rPr>
        <w:t xml:space="preserve">In </w:t>
      </w:r>
      <w:r>
        <w:rPr>
          <w:rStyle w:val="BodyTextChar"/>
        </w:rPr>
        <w:t>north-east and east-central Alberta</w:t>
      </w:r>
      <w:r w:rsidRPr="002C7A01">
        <w:rPr>
          <w:rStyle w:val="BodyTextChar"/>
        </w:rPr>
        <w:t xml:space="preserve">, the resilience of fish populations and fish habitat </w:t>
      </w:r>
      <w:proofErr w:type="gramStart"/>
      <w:r w:rsidRPr="002C7A01">
        <w:rPr>
          <w:rStyle w:val="BodyTextChar"/>
        </w:rPr>
        <w:t>are</w:t>
      </w:r>
      <w:proofErr w:type="gramEnd"/>
      <w:r w:rsidRPr="002C7A01">
        <w:rPr>
          <w:rStyle w:val="BodyTextChar"/>
        </w:rPr>
        <w:t xml:space="preserve"> largely affected</w:t>
      </w:r>
      <w:r w:rsidRPr="00410AF6">
        <w:t xml:space="preserve"> by the following anthropogenic key stressors (Lagimodier</w:t>
      </w:r>
      <w:r>
        <w:t>e</w:t>
      </w:r>
      <w:r w:rsidRPr="00410AF6">
        <w:t xml:space="preserve"> and Eaton 2009</w:t>
      </w:r>
      <w:r w:rsidRPr="006D7E68">
        <w:t>):</w:t>
      </w:r>
      <w:r w:rsidRPr="00410AF6">
        <w:t xml:space="preserve"> </w:t>
      </w:r>
    </w:p>
    <w:p w:rsidR="002F4BF0" w:rsidRDefault="002F4BF0" w:rsidP="002F4BF0">
      <w:pPr>
        <w:pStyle w:val="ListBullet"/>
      </w:pPr>
      <w:r w:rsidRPr="00410AF6">
        <w:t>fishing pressure (fish mortality from recreational, commercial and subsistence fishing);</w:t>
      </w:r>
    </w:p>
    <w:p w:rsidR="002F4BF0" w:rsidRDefault="002F4BF0" w:rsidP="002F4BF0">
      <w:pPr>
        <w:pStyle w:val="ListBullet"/>
      </w:pPr>
      <w:r w:rsidRPr="00410AF6">
        <w:t>access (habitat fragmentation related to stream crossing and density of linear features);</w:t>
      </w:r>
    </w:p>
    <w:p w:rsidR="002F4BF0" w:rsidRDefault="002F4BF0" w:rsidP="002F4BF0">
      <w:pPr>
        <w:pStyle w:val="ListBullet"/>
      </w:pPr>
      <w:r w:rsidRPr="00410AF6">
        <w:t xml:space="preserve">land disturbance (direct alteration and loss of fish habitat); </w:t>
      </w:r>
    </w:p>
    <w:p w:rsidR="002F4BF0" w:rsidRDefault="002F4BF0" w:rsidP="002F4BF0">
      <w:pPr>
        <w:pStyle w:val="ListBullet"/>
      </w:pPr>
      <w:r w:rsidRPr="00410AF6">
        <w:t>climate change;</w:t>
      </w:r>
    </w:p>
    <w:p w:rsidR="002F4BF0" w:rsidRDefault="002F4BF0" w:rsidP="002F4BF0">
      <w:pPr>
        <w:pStyle w:val="ListBullet"/>
      </w:pPr>
      <w:r w:rsidRPr="00410AF6">
        <w:t xml:space="preserve">water demand and use; </w:t>
      </w:r>
    </w:p>
    <w:p w:rsidR="002F4BF0" w:rsidRPr="00410AF6" w:rsidRDefault="002F4BF0" w:rsidP="002F4BF0">
      <w:pPr>
        <w:pStyle w:val="ListBullet"/>
      </w:pPr>
      <w:proofErr w:type="gramStart"/>
      <w:r w:rsidRPr="00410AF6">
        <w:t>reduced</w:t>
      </w:r>
      <w:proofErr w:type="gramEnd"/>
      <w:r w:rsidRPr="00410AF6">
        <w:t xml:space="preserve"> water quality (i.e., sediment and nutrient runoff); and</w:t>
      </w:r>
      <w:r>
        <w:t xml:space="preserve"> </w:t>
      </w:r>
      <w:r w:rsidRPr="00410AF6">
        <w:t xml:space="preserve">spills/accidental releases of pollutants.  </w:t>
      </w:r>
    </w:p>
    <w:p w:rsidR="002F4BF0" w:rsidRPr="00410AF6" w:rsidRDefault="002F4BF0" w:rsidP="002F4BF0">
      <w:pPr>
        <w:pStyle w:val="BodyText"/>
      </w:pPr>
      <w:r w:rsidRPr="00410AF6">
        <w:t xml:space="preserve">The </w:t>
      </w:r>
      <w:r>
        <w:t>Index of Native Fish Integrity (INFI)</w:t>
      </w:r>
      <w:r w:rsidRPr="00410AF6">
        <w:t xml:space="preserve"> is an important indicator on the resilience of fish communities because it </w:t>
      </w:r>
      <w:r>
        <w:t>describes both the response of</w:t>
      </w:r>
      <w:r w:rsidRPr="00410AF6">
        <w:t xml:space="preserve"> fish populations to cumulative anthropogenic stressors, and the relative degree of effort and likelihood for recovering the fish community at a landscape scale. </w:t>
      </w:r>
      <w:r>
        <w:t>A</w:t>
      </w:r>
      <w:r w:rsidRPr="00410AF6">
        <w:t xml:space="preserve"> reduction in INFI conveys changes in abundance of fish species that are most likely to change in response to anthropogenic effects such as rare fish, apex predators, common specialists, common generalists, and irruptives. </w:t>
      </w:r>
      <w:r>
        <w:t xml:space="preserve"> </w:t>
      </w:r>
      <w:r w:rsidRPr="00410AF6">
        <w:t xml:space="preserve"> </w:t>
      </w:r>
    </w:p>
    <w:p w:rsidR="00DD33C3" w:rsidRDefault="008B40D4" w:rsidP="00DD33C3">
      <w:pPr>
        <w:spacing w:after="200" w:line="276" w:lineRule="auto"/>
      </w:pPr>
      <w:r w:rsidRPr="00DE5E77">
        <w:t>The status of the fish community was assessed using the index of native fish integrity (INFI), a measure that conveys changes in abundance and composition of fish species with a value ranging from 1 (undisturbed community) to 0 (highly disturbed</w:t>
      </w:r>
      <w:r>
        <w:t xml:space="preserve"> community</w:t>
      </w:r>
      <w:r w:rsidRPr="00DE5E77">
        <w:t>).</w:t>
      </w:r>
      <w:r>
        <w:t xml:space="preserve">  Fish communities associated with different INFI values are presented</w:t>
      </w:r>
      <w:r w:rsidR="00DD33C3">
        <w:t xml:space="preserve"> in </w:t>
      </w:r>
      <w:r w:rsidR="00575CA7">
        <w:fldChar w:fldCharType="begin"/>
      </w:r>
      <w:r w:rsidR="00DD33C3">
        <w:instrText xml:space="preserve"> REF _Ref326255809 \h </w:instrText>
      </w:r>
      <w:r w:rsidR="00575CA7">
        <w:fldChar w:fldCharType="separate"/>
      </w:r>
      <w:r w:rsidR="003648B8">
        <w:t xml:space="preserve">Table </w:t>
      </w:r>
      <w:r w:rsidR="003648B8">
        <w:rPr>
          <w:noProof/>
        </w:rPr>
        <w:t>10</w:t>
      </w:r>
      <w:r w:rsidR="00575CA7">
        <w:fldChar w:fldCharType="end"/>
      </w:r>
      <w:r w:rsidR="00DD33C3">
        <w:t>.</w:t>
      </w:r>
    </w:p>
    <w:p w:rsidR="008B40D4" w:rsidRPr="00F21BC0" w:rsidRDefault="008B40D4" w:rsidP="00F21BC0">
      <w:pPr>
        <w:spacing w:after="200" w:line="276" w:lineRule="auto"/>
        <w:rPr>
          <w:b/>
          <w:bCs/>
          <w:sz w:val="20"/>
          <w:szCs w:val="20"/>
          <w:lang w:eastAsia="en-CA"/>
        </w:rPr>
      </w:pPr>
      <w:r>
        <w:t xml:space="preserve"> </w:t>
      </w:r>
      <w:r w:rsidRPr="00DE5E77">
        <w:t xml:space="preserve">INFI response to scenarios </w:t>
      </w:r>
      <w:r w:rsidR="00DD33C3">
        <w:t>was</w:t>
      </w:r>
      <w:r w:rsidRPr="00DE5E77">
        <w:t xml:space="preserve"> estimated using relationships with human </w:t>
      </w:r>
      <w:r>
        <w:t>population density</w:t>
      </w:r>
      <w:r w:rsidRPr="00DE5E77">
        <w:t>,</w:t>
      </w:r>
      <w:r>
        <w:t xml:space="preserve"> density of access,</w:t>
      </w:r>
      <w:r w:rsidRPr="00DE5E77">
        <w:t xml:space="preserve"> watershed discontinuity, and stream flow developed during a workshop held</w:t>
      </w:r>
      <w:r>
        <w:t xml:space="preserve"> with regional fishery experts</w:t>
      </w:r>
      <w:r w:rsidR="008C209D">
        <w:t xml:space="preserve"> (</w:t>
      </w:r>
      <w:r w:rsidR="00575CA7">
        <w:fldChar w:fldCharType="begin"/>
      </w:r>
      <w:r w:rsidR="008C209D">
        <w:instrText xml:space="preserve"> REF _Ref326262741 \h </w:instrText>
      </w:r>
      <w:r w:rsidR="00575CA7">
        <w:fldChar w:fldCharType="separate"/>
      </w:r>
      <w:r w:rsidR="003648B8">
        <w:t xml:space="preserve">Table </w:t>
      </w:r>
      <w:r w:rsidR="003648B8">
        <w:rPr>
          <w:noProof/>
        </w:rPr>
        <w:t>11</w:t>
      </w:r>
      <w:r w:rsidR="00575CA7">
        <w:fldChar w:fldCharType="end"/>
      </w:r>
      <w:r w:rsidR="008C209D">
        <w:t>)</w:t>
      </w:r>
      <w:r w:rsidRPr="00DE5E77">
        <w:t>.</w:t>
      </w:r>
      <w:r>
        <w:t xml:space="preserve">  The workshop was held to inform scenario analyses completed by CEMA in northeastern Alberta.  However, the relationships between INFI and the risk factors </w:t>
      </w:r>
      <w:r w:rsidR="0039374A">
        <w:t>were consistent</w:t>
      </w:r>
      <w:r>
        <w:t xml:space="preserve"> across the project’s study area (Michael Sullivan, pers comm).</w:t>
      </w:r>
      <w:r w:rsidRPr="00DE5E77">
        <w:t xml:space="preserve">  </w:t>
      </w:r>
      <w:r>
        <w:t xml:space="preserve">Relationships were estimated with and without access, making it possible to explore the potential effectiveness of zoning to mitigate improved angler access facilitated by expanding industrial infrastructure.  INFI will be assessed separately in ALCES for protected and unprotected portions of the landscape, and an overall average INFI value is </w:t>
      </w:r>
      <w:r>
        <w:lastRenderedPageBreak/>
        <w:t xml:space="preserve">then calculated as an area weighted average.  When calculating INFI in protected portions of the landscape, road density, water consumption, and human access are assumed to be negligible.  </w:t>
      </w:r>
    </w:p>
    <w:p w:rsidR="008B40D4" w:rsidRPr="00841928" w:rsidRDefault="008B40D4" w:rsidP="008B40D4"/>
    <w:p w:rsidR="008B40D4" w:rsidRDefault="008B40D4" w:rsidP="008B40D4">
      <w:pPr>
        <w:pStyle w:val="Caption"/>
        <w:keepNext/>
      </w:pPr>
      <w:bookmarkStart w:id="292" w:name="_Ref289240418"/>
      <w:bookmarkStart w:id="293" w:name="_Ref326255809"/>
      <w:bookmarkStart w:id="294" w:name="_Toc301950403"/>
      <w:bookmarkStart w:id="295" w:name="_Ref326255708"/>
      <w:bookmarkStart w:id="296" w:name="_Toc338703774"/>
      <w:proofErr w:type="gramStart"/>
      <w:r>
        <w:t xml:space="preserve">Table </w:t>
      </w:r>
      <w:r w:rsidR="00575CA7">
        <w:fldChar w:fldCharType="begin"/>
      </w:r>
      <w:r w:rsidR="00D75024">
        <w:instrText xml:space="preserve"> SEQ Table \* ARABIC </w:instrText>
      </w:r>
      <w:r w:rsidR="00575CA7">
        <w:fldChar w:fldCharType="separate"/>
      </w:r>
      <w:r w:rsidR="002B4C72">
        <w:rPr>
          <w:noProof/>
        </w:rPr>
        <w:t>10</w:t>
      </w:r>
      <w:r w:rsidR="00575CA7">
        <w:fldChar w:fldCharType="end"/>
      </w:r>
      <w:bookmarkEnd w:id="292"/>
      <w:bookmarkEnd w:id="293"/>
      <w:r>
        <w:t>.</w:t>
      </w:r>
      <w:proofErr w:type="gramEnd"/>
      <w:r>
        <w:t xml:space="preserve"> Fish community descriptions associated with INFI values of 1, 0.5, and 0 (from Sullivan 2006).</w:t>
      </w:r>
      <w:bookmarkEnd w:id="294"/>
      <w:bookmarkEnd w:id="295"/>
      <w:bookmarkEnd w:id="296"/>
    </w:p>
    <w:tbl>
      <w:tblPr>
        <w:tblStyle w:val="TableGrid"/>
        <w:tblW w:w="0" w:type="auto"/>
        <w:tblInd w:w="250" w:type="dxa"/>
        <w:tblLook w:val="00A0"/>
      </w:tblPr>
      <w:tblGrid>
        <w:gridCol w:w="1266"/>
        <w:gridCol w:w="2382"/>
        <w:gridCol w:w="2659"/>
        <w:gridCol w:w="2659"/>
      </w:tblGrid>
      <w:tr w:rsidR="008B40D4" w:rsidRPr="0090177E" w:rsidTr="008B40D4">
        <w:trPr>
          <w:tblHeader/>
        </w:trPr>
        <w:tc>
          <w:tcPr>
            <w:tcW w:w="1276" w:type="dxa"/>
            <w:shd w:val="clear" w:color="auto" w:fill="auto"/>
            <w:vAlign w:val="center"/>
          </w:tcPr>
          <w:p w:rsidR="008B40D4" w:rsidRPr="0090177E" w:rsidRDefault="008B40D4" w:rsidP="008B40D4">
            <w:pPr>
              <w:spacing w:before="120" w:after="120"/>
              <w:jc w:val="center"/>
              <w:rPr>
                <w:b/>
                <w:sz w:val="18"/>
              </w:rPr>
            </w:pPr>
            <w:r w:rsidRPr="0090177E">
              <w:rPr>
                <w:b/>
                <w:sz w:val="18"/>
              </w:rPr>
              <w:t>Fish Habitat Type</w:t>
            </w:r>
          </w:p>
        </w:tc>
        <w:tc>
          <w:tcPr>
            <w:tcW w:w="2410" w:type="dxa"/>
            <w:shd w:val="clear" w:color="auto" w:fill="auto"/>
            <w:vAlign w:val="center"/>
          </w:tcPr>
          <w:p w:rsidR="008B40D4" w:rsidRPr="0090177E" w:rsidRDefault="008B40D4" w:rsidP="008B40D4">
            <w:pPr>
              <w:spacing w:before="120" w:after="120"/>
              <w:jc w:val="center"/>
              <w:rPr>
                <w:b/>
                <w:sz w:val="18"/>
              </w:rPr>
            </w:pPr>
            <w:r w:rsidRPr="0090177E">
              <w:rPr>
                <w:b/>
                <w:sz w:val="18"/>
              </w:rPr>
              <w:t>INFI = 1</w:t>
            </w:r>
          </w:p>
        </w:tc>
        <w:tc>
          <w:tcPr>
            <w:tcW w:w="2693" w:type="dxa"/>
            <w:shd w:val="clear" w:color="auto" w:fill="auto"/>
            <w:vAlign w:val="center"/>
          </w:tcPr>
          <w:p w:rsidR="008B40D4" w:rsidRPr="0090177E" w:rsidRDefault="008B40D4" w:rsidP="008B40D4">
            <w:pPr>
              <w:spacing w:before="120" w:after="120"/>
              <w:jc w:val="center"/>
              <w:rPr>
                <w:b/>
                <w:sz w:val="18"/>
              </w:rPr>
            </w:pPr>
            <w:r w:rsidRPr="0090177E">
              <w:rPr>
                <w:b/>
                <w:sz w:val="18"/>
              </w:rPr>
              <w:t>INFI = 0.5</w:t>
            </w:r>
          </w:p>
        </w:tc>
        <w:tc>
          <w:tcPr>
            <w:tcW w:w="2693" w:type="dxa"/>
            <w:shd w:val="clear" w:color="auto" w:fill="auto"/>
            <w:vAlign w:val="center"/>
          </w:tcPr>
          <w:p w:rsidR="008B40D4" w:rsidRPr="0090177E" w:rsidRDefault="008B40D4" w:rsidP="008B40D4">
            <w:pPr>
              <w:spacing w:before="120" w:after="120"/>
              <w:jc w:val="center"/>
              <w:rPr>
                <w:b/>
                <w:sz w:val="18"/>
              </w:rPr>
            </w:pPr>
            <w:r w:rsidRPr="0090177E">
              <w:rPr>
                <w:b/>
                <w:sz w:val="18"/>
              </w:rPr>
              <w:t>INFI = 0</w:t>
            </w:r>
          </w:p>
        </w:tc>
      </w:tr>
      <w:tr w:rsidR="008B40D4" w:rsidRPr="0090177E" w:rsidTr="008B40D4">
        <w:tc>
          <w:tcPr>
            <w:tcW w:w="1276" w:type="dxa"/>
            <w:shd w:val="clear" w:color="auto" w:fill="auto"/>
            <w:vAlign w:val="center"/>
          </w:tcPr>
          <w:p w:rsidR="008B40D4" w:rsidRPr="0090177E" w:rsidRDefault="008B40D4" w:rsidP="008B40D4">
            <w:pPr>
              <w:spacing w:before="120" w:after="120"/>
              <w:jc w:val="center"/>
              <w:rPr>
                <w:sz w:val="18"/>
              </w:rPr>
            </w:pPr>
            <w:r w:rsidRPr="0090177E">
              <w:rPr>
                <w:sz w:val="18"/>
              </w:rPr>
              <w:t>Rivers</w:t>
            </w:r>
          </w:p>
        </w:tc>
        <w:tc>
          <w:tcPr>
            <w:tcW w:w="2410" w:type="dxa"/>
            <w:shd w:val="clear" w:color="auto" w:fill="auto"/>
            <w:vAlign w:val="center"/>
          </w:tcPr>
          <w:p w:rsidR="008B40D4" w:rsidRPr="0090177E" w:rsidRDefault="008B40D4" w:rsidP="008B40D4">
            <w:pPr>
              <w:spacing w:before="120" w:after="120"/>
              <w:jc w:val="center"/>
              <w:rPr>
                <w:sz w:val="18"/>
              </w:rPr>
            </w:pPr>
            <w:r w:rsidRPr="0090177E">
              <w:rPr>
                <w:sz w:val="18"/>
              </w:rPr>
              <w:t>Abundant walleye and pike (all sizes). Common catches of Arctic grayling, slimy sculpin, burbot, trout-perch, dace and suckers.</w:t>
            </w:r>
          </w:p>
        </w:tc>
        <w:tc>
          <w:tcPr>
            <w:tcW w:w="2693" w:type="dxa"/>
            <w:shd w:val="clear" w:color="auto" w:fill="auto"/>
            <w:vAlign w:val="center"/>
          </w:tcPr>
          <w:p w:rsidR="008B40D4" w:rsidRPr="0090177E" w:rsidRDefault="008B40D4" w:rsidP="008B40D4">
            <w:pPr>
              <w:spacing w:before="120" w:after="120"/>
              <w:jc w:val="center"/>
              <w:rPr>
                <w:sz w:val="18"/>
              </w:rPr>
            </w:pPr>
            <w:r w:rsidRPr="0090177E">
              <w:rPr>
                <w:sz w:val="18"/>
              </w:rPr>
              <w:t>Abundant small walleye and pike, few large fish. Common catches of burbot, trout-perch, dace, and suckers. Few Arctic grayling and sculpin.</w:t>
            </w:r>
          </w:p>
        </w:tc>
        <w:tc>
          <w:tcPr>
            <w:tcW w:w="2693" w:type="dxa"/>
            <w:shd w:val="clear" w:color="auto" w:fill="auto"/>
            <w:vAlign w:val="center"/>
          </w:tcPr>
          <w:p w:rsidR="008B40D4" w:rsidRPr="0090177E" w:rsidRDefault="008B40D4" w:rsidP="008B40D4">
            <w:pPr>
              <w:spacing w:before="120" w:after="120"/>
              <w:jc w:val="center"/>
              <w:rPr>
                <w:sz w:val="18"/>
              </w:rPr>
            </w:pPr>
            <w:r w:rsidRPr="0090177E">
              <w:rPr>
                <w:sz w:val="18"/>
              </w:rPr>
              <w:t>Very few small walleye and pike, few large fish.  Rare catches of Arctic grayling and burbot, trout-perch and dace.  Abundant suckers and fathead minnow.</w:t>
            </w:r>
          </w:p>
        </w:tc>
      </w:tr>
      <w:tr w:rsidR="008B40D4" w:rsidRPr="0090177E" w:rsidTr="008B40D4">
        <w:tc>
          <w:tcPr>
            <w:tcW w:w="1276" w:type="dxa"/>
            <w:shd w:val="clear" w:color="auto" w:fill="auto"/>
            <w:vAlign w:val="center"/>
          </w:tcPr>
          <w:p w:rsidR="008B40D4" w:rsidRPr="0090177E" w:rsidRDefault="008B40D4" w:rsidP="008B40D4">
            <w:pPr>
              <w:spacing w:before="120" w:after="120"/>
              <w:jc w:val="center"/>
              <w:rPr>
                <w:sz w:val="18"/>
              </w:rPr>
            </w:pPr>
            <w:r w:rsidRPr="0090177E">
              <w:rPr>
                <w:sz w:val="18"/>
              </w:rPr>
              <w:t>Large Streams</w:t>
            </w:r>
          </w:p>
        </w:tc>
        <w:tc>
          <w:tcPr>
            <w:tcW w:w="2410" w:type="dxa"/>
            <w:shd w:val="clear" w:color="auto" w:fill="auto"/>
            <w:vAlign w:val="center"/>
          </w:tcPr>
          <w:p w:rsidR="008B40D4" w:rsidRPr="0090177E" w:rsidRDefault="008B40D4" w:rsidP="008B40D4">
            <w:pPr>
              <w:spacing w:before="120" w:after="120"/>
              <w:jc w:val="center"/>
              <w:rPr>
                <w:sz w:val="18"/>
              </w:rPr>
            </w:pPr>
            <w:r w:rsidRPr="0090177E">
              <w:rPr>
                <w:sz w:val="18"/>
              </w:rPr>
              <w:t>Abundant Arctic grayling and small pike (depending on slope of stream). Common catches of larger walleye, pike, slimy sculpin, dace, suckers and lake chub.  Rare catches of fat head minnow and brook stickleback.</w:t>
            </w:r>
          </w:p>
        </w:tc>
        <w:tc>
          <w:tcPr>
            <w:tcW w:w="2693" w:type="dxa"/>
            <w:shd w:val="clear" w:color="auto" w:fill="auto"/>
            <w:vAlign w:val="center"/>
          </w:tcPr>
          <w:p w:rsidR="008B40D4" w:rsidRPr="0090177E" w:rsidRDefault="008B40D4" w:rsidP="008B40D4">
            <w:pPr>
              <w:spacing w:before="120" w:after="120"/>
              <w:jc w:val="center"/>
              <w:rPr>
                <w:sz w:val="18"/>
              </w:rPr>
            </w:pPr>
            <w:r w:rsidRPr="0090177E">
              <w:rPr>
                <w:sz w:val="18"/>
              </w:rPr>
              <w:t>Abundant small Arctic grayling and small pike (depending on slope of stream). Rare catches of larger walleye, pike, and Arctic grayling.  Common catches of suckers, lake chub, fathead minnow and brook stickleback.</w:t>
            </w:r>
          </w:p>
        </w:tc>
        <w:tc>
          <w:tcPr>
            <w:tcW w:w="2693" w:type="dxa"/>
            <w:shd w:val="clear" w:color="auto" w:fill="auto"/>
            <w:vAlign w:val="center"/>
          </w:tcPr>
          <w:p w:rsidR="008B40D4" w:rsidRPr="0090177E" w:rsidRDefault="008B40D4" w:rsidP="008B40D4">
            <w:pPr>
              <w:spacing w:before="120" w:after="120"/>
              <w:jc w:val="center"/>
              <w:rPr>
                <w:sz w:val="18"/>
              </w:rPr>
            </w:pPr>
            <w:r w:rsidRPr="0090177E">
              <w:rPr>
                <w:sz w:val="18"/>
              </w:rPr>
              <w:t>Few small Arctic grayling and small pike (depending on slope of stream). Very rare catches of larger walleye, pike, and Arctic grayling. Abundant catches of suckers, lake chub, fathead minnow and brook stickleback.</w:t>
            </w:r>
          </w:p>
        </w:tc>
      </w:tr>
      <w:tr w:rsidR="008B40D4" w:rsidRPr="0090177E" w:rsidTr="008B40D4">
        <w:tc>
          <w:tcPr>
            <w:tcW w:w="1276" w:type="dxa"/>
            <w:shd w:val="clear" w:color="auto" w:fill="auto"/>
            <w:vAlign w:val="center"/>
          </w:tcPr>
          <w:p w:rsidR="008B40D4" w:rsidRPr="0090177E" w:rsidRDefault="008B40D4" w:rsidP="008B40D4">
            <w:pPr>
              <w:spacing w:before="120" w:after="120"/>
              <w:jc w:val="center"/>
              <w:rPr>
                <w:sz w:val="18"/>
              </w:rPr>
            </w:pPr>
            <w:r w:rsidRPr="0090177E">
              <w:rPr>
                <w:sz w:val="18"/>
              </w:rPr>
              <w:t>Small Streams</w:t>
            </w:r>
          </w:p>
        </w:tc>
        <w:tc>
          <w:tcPr>
            <w:tcW w:w="2410" w:type="dxa"/>
            <w:shd w:val="clear" w:color="auto" w:fill="auto"/>
            <w:vAlign w:val="center"/>
          </w:tcPr>
          <w:p w:rsidR="008B40D4" w:rsidRPr="0090177E" w:rsidRDefault="008B40D4" w:rsidP="008B40D4">
            <w:pPr>
              <w:spacing w:before="120" w:after="120"/>
              <w:jc w:val="center"/>
              <w:rPr>
                <w:sz w:val="18"/>
              </w:rPr>
            </w:pPr>
            <w:r w:rsidRPr="0090177E">
              <w:rPr>
                <w:sz w:val="18"/>
              </w:rPr>
              <w:t>Abundant small Arctic grayling and small pike (depending on slope of stream).  Common catches of dace, suckers, stickleback and fathead minnow.</w:t>
            </w:r>
          </w:p>
        </w:tc>
        <w:tc>
          <w:tcPr>
            <w:tcW w:w="2693" w:type="dxa"/>
            <w:shd w:val="clear" w:color="auto" w:fill="auto"/>
            <w:vAlign w:val="center"/>
          </w:tcPr>
          <w:p w:rsidR="008B40D4" w:rsidRPr="0090177E" w:rsidRDefault="008B40D4" w:rsidP="008B40D4">
            <w:pPr>
              <w:spacing w:before="120" w:after="120"/>
              <w:jc w:val="center"/>
              <w:rPr>
                <w:sz w:val="18"/>
              </w:rPr>
            </w:pPr>
            <w:r w:rsidRPr="0090177E">
              <w:rPr>
                <w:sz w:val="18"/>
              </w:rPr>
              <w:t>Rare small Arctic grayling and small pike (depending on slope of stream).  Common catches of suckers, stickleback and fathead minnow.</w:t>
            </w:r>
          </w:p>
        </w:tc>
        <w:tc>
          <w:tcPr>
            <w:tcW w:w="2693" w:type="dxa"/>
            <w:shd w:val="clear" w:color="auto" w:fill="auto"/>
            <w:vAlign w:val="center"/>
          </w:tcPr>
          <w:p w:rsidR="008B40D4" w:rsidRPr="0090177E" w:rsidRDefault="008B40D4" w:rsidP="008B40D4">
            <w:pPr>
              <w:spacing w:before="120" w:after="120"/>
              <w:jc w:val="center"/>
              <w:rPr>
                <w:sz w:val="18"/>
              </w:rPr>
            </w:pPr>
            <w:r w:rsidRPr="0090177E">
              <w:rPr>
                <w:sz w:val="18"/>
              </w:rPr>
              <w:t>Very rare small Arctic grayling and small pike (depending on slope of stream).  Abundant catches of suckers, stickleback and fathead minnow.</w:t>
            </w:r>
          </w:p>
        </w:tc>
      </w:tr>
      <w:tr w:rsidR="008B40D4" w:rsidRPr="0090177E" w:rsidTr="008B40D4">
        <w:tc>
          <w:tcPr>
            <w:tcW w:w="1276" w:type="dxa"/>
            <w:shd w:val="clear" w:color="auto" w:fill="auto"/>
            <w:vAlign w:val="center"/>
          </w:tcPr>
          <w:p w:rsidR="008B40D4" w:rsidRPr="0090177E" w:rsidRDefault="008B40D4" w:rsidP="008B40D4">
            <w:pPr>
              <w:spacing w:before="120" w:after="120"/>
              <w:jc w:val="center"/>
              <w:rPr>
                <w:sz w:val="18"/>
              </w:rPr>
            </w:pPr>
            <w:r w:rsidRPr="0090177E">
              <w:rPr>
                <w:sz w:val="18"/>
              </w:rPr>
              <w:t>Large Lakes</w:t>
            </w:r>
          </w:p>
          <w:p w:rsidR="008B40D4" w:rsidRPr="0090177E" w:rsidRDefault="008B40D4" w:rsidP="008B40D4">
            <w:pPr>
              <w:spacing w:before="120" w:after="120"/>
              <w:jc w:val="center"/>
              <w:rPr>
                <w:sz w:val="18"/>
              </w:rPr>
            </w:pPr>
            <w:r w:rsidRPr="0090177E">
              <w:rPr>
                <w:sz w:val="18"/>
              </w:rPr>
              <w:t>(&gt; 300 ha)</w:t>
            </w:r>
          </w:p>
        </w:tc>
        <w:tc>
          <w:tcPr>
            <w:tcW w:w="2410" w:type="dxa"/>
            <w:shd w:val="clear" w:color="auto" w:fill="auto"/>
            <w:vAlign w:val="center"/>
          </w:tcPr>
          <w:p w:rsidR="008B40D4" w:rsidRPr="0090177E" w:rsidRDefault="008B40D4" w:rsidP="008B40D4">
            <w:pPr>
              <w:spacing w:before="120" w:after="120"/>
              <w:jc w:val="center"/>
              <w:rPr>
                <w:sz w:val="18"/>
              </w:rPr>
            </w:pPr>
            <w:r w:rsidRPr="0090177E">
              <w:rPr>
                <w:sz w:val="18"/>
              </w:rPr>
              <w:t>Abundant walleye and pike (all sizes).  Common catches of burbot and trout-perch.</w:t>
            </w:r>
          </w:p>
        </w:tc>
        <w:tc>
          <w:tcPr>
            <w:tcW w:w="2693" w:type="dxa"/>
            <w:shd w:val="clear" w:color="auto" w:fill="auto"/>
            <w:vAlign w:val="center"/>
          </w:tcPr>
          <w:p w:rsidR="008B40D4" w:rsidRPr="0090177E" w:rsidRDefault="008B40D4" w:rsidP="008B40D4">
            <w:pPr>
              <w:spacing w:before="120" w:after="120"/>
              <w:jc w:val="center"/>
              <w:rPr>
                <w:sz w:val="18"/>
              </w:rPr>
            </w:pPr>
            <w:r w:rsidRPr="0090177E">
              <w:rPr>
                <w:sz w:val="18"/>
              </w:rPr>
              <w:t>Abundant walleye and pike. Few large fish.   Rare catches of burbot, trout-perch, common catches of suckers, lake chub.</w:t>
            </w:r>
          </w:p>
        </w:tc>
        <w:tc>
          <w:tcPr>
            <w:tcW w:w="2693" w:type="dxa"/>
            <w:shd w:val="clear" w:color="auto" w:fill="auto"/>
            <w:vAlign w:val="center"/>
          </w:tcPr>
          <w:p w:rsidR="008B40D4" w:rsidRPr="0090177E" w:rsidRDefault="008B40D4" w:rsidP="008B40D4">
            <w:pPr>
              <w:spacing w:before="120" w:after="120"/>
              <w:jc w:val="center"/>
              <w:rPr>
                <w:sz w:val="18"/>
              </w:rPr>
            </w:pPr>
            <w:r w:rsidRPr="0090177E">
              <w:rPr>
                <w:sz w:val="18"/>
              </w:rPr>
              <w:t>Very few small walleye and pike. Few large fish.   Rare catches of burbot, trout-perch. Abundant catches of suckers, lake chub.</w:t>
            </w:r>
          </w:p>
        </w:tc>
      </w:tr>
      <w:tr w:rsidR="008B40D4" w:rsidRPr="0090177E" w:rsidTr="008B40D4">
        <w:tc>
          <w:tcPr>
            <w:tcW w:w="1276" w:type="dxa"/>
            <w:shd w:val="clear" w:color="auto" w:fill="auto"/>
            <w:vAlign w:val="center"/>
          </w:tcPr>
          <w:p w:rsidR="008B40D4" w:rsidRPr="0090177E" w:rsidRDefault="008B40D4" w:rsidP="008B40D4">
            <w:pPr>
              <w:spacing w:before="120" w:after="120"/>
              <w:jc w:val="center"/>
              <w:rPr>
                <w:sz w:val="18"/>
              </w:rPr>
            </w:pPr>
            <w:r w:rsidRPr="0090177E">
              <w:rPr>
                <w:sz w:val="18"/>
              </w:rPr>
              <w:t>Small Lakes</w:t>
            </w:r>
          </w:p>
          <w:p w:rsidR="008B40D4" w:rsidRPr="0090177E" w:rsidRDefault="008B40D4" w:rsidP="008B40D4">
            <w:pPr>
              <w:spacing w:before="120" w:after="120"/>
              <w:jc w:val="center"/>
              <w:rPr>
                <w:sz w:val="18"/>
              </w:rPr>
            </w:pPr>
            <w:r w:rsidRPr="0090177E">
              <w:rPr>
                <w:sz w:val="18"/>
              </w:rPr>
              <w:t>(&lt; 300 ha)</w:t>
            </w:r>
          </w:p>
        </w:tc>
        <w:tc>
          <w:tcPr>
            <w:tcW w:w="2410" w:type="dxa"/>
            <w:shd w:val="clear" w:color="auto" w:fill="auto"/>
            <w:vAlign w:val="center"/>
          </w:tcPr>
          <w:p w:rsidR="008B40D4" w:rsidRPr="0090177E" w:rsidRDefault="008B40D4" w:rsidP="008B40D4">
            <w:pPr>
              <w:spacing w:before="120" w:after="120"/>
              <w:jc w:val="center"/>
              <w:rPr>
                <w:sz w:val="18"/>
              </w:rPr>
            </w:pPr>
            <w:r w:rsidRPr="0090177E">
              <w:rPr>
                <w:sz w:val="18"/>
              </w:rPr>
              <w:t>No larger fish.  Abundant brook stickleback and fathead minnows.  Common catches of suckers and some small pike.</w:t>
            </w:r>
          </w:p>
        </w:tc>
        <w:tc>
          <w:tcPr>
            <w:tcW w:w="2693" w:type="dxa"/>
            <w:shd w:val="clear" w:color="auto" w:fill="auto"/>
            <w:vAlign w:val="center"/>
          </w:tcPr>
          <w:p w:rsidR="008B40D4" w:rsidRPr="0090177E" w:rsidRDefault="008B40D4" w:rsidP="008B40D4">
            <w:pPr>
              <w:spacing w:before="120" w:after="120"/>
              <w:jc w:val="center"/>
              <w:rPr>
                <w:sz w:val="18"/>
              </w:rPr>
            </w:pPr>
            <w:r w:rsidRPr="0090177E">
              <w:rPr>
                <w:sz w:val="18"/>
              </w:rPr>
              <w:t>No larger fish. Abundant brook stickleback and fathead minnow.  Common catches of suckers and some small pike.</w:t>
            </w:r>
          </w:p>
        </w:tc>
        <w:tc>
          <w:tcPr>
            <w:tcW w:w="2693" w:type="dxa"/>
            <w:shd w:val="clear" w:color="auto" w:fill="auto"/>
            <w:vAlign w:val="center"/>
          </w:tcPr>
          <w:p w:rsidR="008B40D4" w:rsidRPr="0090177E" w:rsidRDefault="008B40D4" w:rsidP="008B40D4">
            <w:pPr>
              <w:spacing w:before="120" w:after="120"/>
              <w:jc w:val="center"/>
              <w:rPr>
                <w:sz w:val="18"/>
              </w:rPr>
            </w:pPr>
            <w:r w:rsidRPr="0090177E">
              <w:rPr>
                <w:sz w:val="18"/>
              </w:rPr>
              <w:t>No larger fish.  Abundant brook stickleback and fathead minnow.  Common catches of suckers and some small pike.</w:t>
            </w:r>
          </w:p>
        </w:tc>
      </w:tr>
    </w:tbl>
    <w:p w:rsidR="008B40D4" w:rsidRDefault="008B40D4" w:rsidP="008B40D4"/>
    <w:p w:rsidR="00793B35" w:rsidRDefault="00793B35">
      <w:pPr>
        <w:spacing w:after="200" w:line="276" w:lineRule="auto"/>
        <w:rPr>
          <w:b/>
          <w:bCs/>
          <w:sz w:val="20"/>
          <w:szCs w:val="20"/>
          <w:lang w:eastAsia="en-CA"/>
        </w:rPr>
      </w:pPr>
      <w:bookmarkStart w:id="297" w:name="_Toc301950415"/>
      <w:r>
        <w:br w:type="page"/>
      </w:r>
    </w:p>
    <w:tbl>
      <w:tblPr>
        <w:tblStyle w:val="TableGrid"/>
        <w:tblpPr w:leftFromText="180" w:rightFromText="180" w:vertAnchor="page" w:horzAnchor="margin" w:tblpY="2071"/>
        <w:tblW w:w="0" w:type="auto"/>
        <w:tblLook w:val="04A0"/>
      </w:tblPr>
      <w:tblGrid>
        <w:gridCol w:w="4440"/>
        <w:gridCol w:w="4416"/>
      </w:tblGrid>
      <w:tr w:rsidR="00793B35" w:rsidTr="00793B35">
        <w:tc>
          <w:tcPr>
            <w:tcW w:w="4440" w:type="dxa"/>
          </w:tcPr>
          <w:p w:rsidR="00793B35" w:rsidRDefault="00793B35" w:rsidP="00793B35">
            <w:r>
              <w:lastRenderedPageBreak/>
              <w:t>No access management</w:t>
            </w:r>
          </w:p>
        </w:tc>
        <w:tc>
          <w:tcPr>
            <w:tcW w:w="4416" w:type="dxa"/>
          </w:tcPr>
          <w:p w:rsidR="00793B35" w:rsidRDefault="00793B35" w:rsidP="00793B35">
            <w:r>
              <w:t>Access management</w:t>
            </w:r>
          </w:p>
        </w:tc>
      </w:tr>
      <w:tr w:rsidR="00793B35" w:rsidTr="00793B35">
        <w:tc>
          <w:tcPr>
            <w:tcW w:w="4440" w:type="dxa"/>
          </w:tcPr>
          <w:p w:rsidR="00793B35" w:rsidRDefault="00793B35" w:rsidP="00793B35">
            <w:r w:rsidRPr="00FF4480">
              <w:rPr>
                <w:noProof/>
                <w:lang w:val="en-US"/>
              </w:rPr>
              <w:drawing>
                <wp:inline distT="0" distB="0" distL="0" distR="0">
                  <wp:extent cx="2257425" cy="1747217"/>
                  <wp:effectExtent l="19050" t="0" r="9525" b="0"/>
                  <wp:docPr id="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262872" cy="1751433"/>
                          </a:xfrm>
                          <a:prstGeom prst="rect">
                            <a:avLst/>
                          </a:prstGeom>
                          <a:noFill/>
                          <a:ln w="9525">
                            <a:noFill/>
                            <a:miter lim="800000"/>
                            <a:headEnd/>
                            <a:tailEnd/>
                          </a:ln>
                        </pic:spPr>
                      </pic:pic>
                    </a:graphicData>
                  </a:graphic>
                </wp:inline>
              </w:drawing>
            </w:r>
          </w:p>
        </w:tc>
        <w:tc>
          <w:tcPr>
            <w:tcW w:w="4416" w:type="dxa"/>
          </w:tcPr>
          <w:p w:rsidR="00793B35" w:rsidRDefault="00793B35" w:rsidP="00793B35">
            <w:r w:rsidRPr="006211DB">
              <w:rPr>
                <w:noProof/>
                <w:lang w:val="en-US"/>
              </w:rPr>
              <w:drawing>
                <wp:inline distT="0" distB="0" distL="0" distR="0">
                  <wp:extent cx="2234277" cy="1743075"/>
                  <wp:effectExtent l="19050" t="0" r="0" b="0"/>
                  <wp:docPr id="7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238379" cy="1746275"/>
                          </a:xfrm>
                          <a:prstGeom prst="rect">
                            <a:avLst/>
                          </a:prstGeom>
                          <a:noFill/>
                          <a:ln w="9525">
                            <a:noFill/>
                            <a:miter lim="800000"/>
                            <a:headEnd/>
                            <a:tailEnd/>
                          </a:ln>
                        </pic:spPr>
                      </pic:pic>
                    </a:graphicData>
                  </a:graphic>
                </wp:inline>
              </w:drawing>
            </w:r>
          </w:p>
        </w:tc>
      </w:tr>
      <w:tr w:rsidR="00793B35" w:rsidTr="00793B35">
        <w:tc>
          <w:tcPr>
            <w:tcW w:w="4440" w:type="dxa"/>
          </w:tcPr>
          <w:p w:rsidR="00793B35" w:rsidRDefault="00793B35" w:rsidP="00793B35">
            <w:r w:rsidRPr="00FF4480">
              <w:rPr>
                <w:noProof/>
                <w:lang w:val="en-US"/>
              </w:rPr>
              <w:drawing>
                <wp:inline distT="0" distB="0" distL="0" distR="0">
                  <wp:extent cx="2257425" cy="1757995"/>
                  <wp:effectExtent l="19050" t="0" r="9525" b="0"/>
                  <wp:docPr id="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263478" cy="1762709"/>
                          </a:xfrm>
                          <a:prstGeom prst="rect">
                            <a:avLst/>
                          </a:prstGeom>
                          <a:noFill/>
                          <a:ln w="9525">
                            <a:noFill/>
                            <a:miter lim="800000"/>
                            <a:headEnd/>
                            <a:tailEnd/>
                          </a:ln>
                        </pic:spPr>
                      </pic:pic>
                    </a:graphicData>
                  </a:graphic>
                </wp:inline>
              </w:drawing>
            </w:r>
          </w:p>
        </w:tc>
        <w:tc>
          <w:tcPr>
            <w:tcW w:w="4416" w:type="dxa"/>
          </w:tcPr>
          <w:p w:rsidR="00793B35" w:rsidRDefault="00793B35" w:rsidP="00793B35">
            <w:r w:rsidRPr="006211DB">
              <w:rPr>
                <w:noProof/>
                <w:lang w:val="en-US"/>
              </w:rPr>
              <w:drawing>
                <wp:inline distT="0" distB="0" distL="0" distR="0">
                  <wp:extent cx="2238375" cy="1740178"/>
                  <wp:effectExtent l="19050" t="0" r="9525" b="0"/>
                  <wp:docPr id="7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246125" cy="1746203"/>
                          </a:xfrm>
                          <a:prstGeom prst="rect">
                            <a:avLst/>
                          </a:prstGeom>
                          <a:noFill/>
                          <a:ln w="9525">
                            <a:noFill/>
                            <a:miter lim="800000"/>
                            <a:headEnd/>
                            <a:tailEnd/>
                          </a:ln>
                        </pic:spPr>
                      </pic:pic>
                    </a:graphicData>
                  </a:graphic>
                </wp:inline>
              </w:drawing>
            </w:r>
          </w:p>
        </w:tc>
      </w:tr>
      <w:tr w:rsidR="00793B35" w:rsidTr="00793B35">
        <w:tc>
          <w:tcPr>
            <w:tcW w:w="4440" w:type="dxa"/>
          </w:tcPr>
          <w:p w:rsidR="00793B35" w:rsidRDefault="00793B35" w:rsidP="00793B35">
            <w:r w:rsidRPr="00FF4480">
              <w:rPr>
                <w:noProof/>
                <w:lang w:val="en-US"/>
              </w:rPr>
              <w:drawing>
                <wp:inline distT="0" distB="0" distL="0" distR="0">
                  <wp:extent cx="2257425" cy="1764818"/>
                  <wp:effectExtent l="19050" t="0" r="0" b="0"/>
                  <wp:docPr id="7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264869" cy="1770638"/>
                          </a:xfrm>
                          <a:prstGeom prst="rect">
                            <a:avLst/>
                          </a:prstGeom>
                          <a:noFill/>
                          <a:ln w="9525">
                            <a:noFill/>
                            <a:miter lim="800000"/>
                            <a:headEnd/>
                            <a:tailEnd/>
                          </a:ln>
                        </pic:spPr>
                      </pic:pic>
                    </a:graphicData>
                  </a:graphic>
                </wp:inline>
              </w:drawing>
            </w:r>
          </w:p>
        </w:tc>
        <w:tc>
          <w:tcPr>
            <w:tcW w:w="4416" w:type="dxa"/>
          </w:tcPr>
          <w:p w:rsidR="00793B35" w:rsidRDefault="00793B35" w:rsidP="00793B35">
            <w:r w:rsidRPr="006211DB">
              <w:rPr>
                <w:noProof/>
                <w:lang w:val="en-US"/>
              </w:rPr>
              <w:drawing>
                <wp:inline distT="0" distB="0" distL="0" distR="0">
                  <wp:extent cx="2238375" cy="1743141"/>
                  <wp:effectExtent l="19050" t="0" r="9525" b="0"/>
                  <wp:docPr id="7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242180" cy="1746104"/>
                          </a:xfrm>
                          <a:prstGeom prst="rect">
                            <a:avLst/>
                          </a:prstGeom>
                          <a:noFill/>
                          <a:ln w="9525">
                            <a:noFill/>
                            <a:miter lim="800000"/>
                            <a:headEnd/>
                            <a:tailEnd/>
                          </a:ln>
                        </pic:spPr>
                      </pic:pic>
                    </a:graphicData>
                  </a:graphic>
                </wp:inline>
              </w:drawing>
            </w:r>
          </w:p>
        </w:tc>
      </w:tr>
      <w:tr w:rsidR="00793B35" w:rsidTr="00793B35">
        <w:tc>
          <w:tcPr>
            <w:tcW w:w="4440" w:type="dxa"/>
          </w:tcPr>
          <w:p w:rsidR="00793B35" w:rsidRDefault="00793B35" w:rsidP="00793B35">
            <w:r w:rsidRPr="00FF4480">
              <w:rPr>
                <w:noProof/>
                <w:lang w:val="en-US"/>
              </w:rPr>
              <w:drawing>
                <wp:inline distT="0" distB="0" distL="0" distR="0">
                  <wp:extent cx="2233294" cy="1724025"/>
                  <wp:effectExtent l="19050" t="0" r="0" b="0"/>
                  <wp:docPr id="8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237029" cy="1726908"/>
                          </a:xfrm>
                          <a:prstGeom prst="rect">
                            <a:avLst/>
                          </a:prstGeom>
                          <a:noFill/>
                          <a:ln w="9525">
                            <a:noFill/>
                            <a:miter lim="800000"/>
                            <a:headEnd/>
                            <a:tailEnd/>
                          </a:ln>
                        </pic:spPr>
                      </pic:pic>
                    </a:graphicData>
                  </a:graphic>
                </wp:inline>
              </w:drawing>
            </w:r>
          </w:p>
        </w:tc>
        <w:tc>
          <w:tcPr>
            <w:tcW w:w="4416" w:type="dxa"/>
          </w:tcPr>
          <w:p w:rsidR="00793B35" w:rsidRDefault="00793B35" w:rsidP="00793B35">
            <w:r w:rsidRPr="006211DB">
              <w:rPr>
                <w:noProof/>
                <w:lang w:val="en-US"/>
              </w:rPr>
              <w:drawing>
                <wp:inline distT="0" distB="0" distL="0" distR="0">
                  <wp:extent cx="2238375" cy="1727949"/>
                  <wp:effectExtent l="19050" t="0" r="9525" b="0"/>
                  <wp:docPr id="8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242119" cy="1730839"/>
                          </a:xfrm>
                          <a:prstGeom prst="rect">
                            <a:avLst/>
                          </a:prstGeom>
                          <a:noFill/>
                          <a:ln w="9525">
                            <a:noFill/>
                            <a:miter lim="800000"/>
                            <a:headEnd/>
                            <a:tailEnd/>
                          </a:ln>
                        </pic:spPr>
                      </pic:pic>
                    </a:graphicData>
                  </a:graphic>
                </wp:inline>
              </w:drawing>
            </w:r>
          </w:p>
        </w:tc>
      </w:tr>
    </w:tbl>
    <w:p w:rsidR="00DE61CE" w:rsidRDefault="00DE61CE" w:rsidP="00DE61CE">
      <w:pPr>
        <w:pStyle w:val="Caption"/>
        <w:keepNext/>
      </w:pPr>
      <w:bookmarkStart w:id="298" w:name="_Ref326262741"/>
      <w:bookmarkStart w:id="299" w:name="_Toc338703775"/>
      <w:proofErr w:type="gramStart"/>
      <w:r>
        <w:t xml:space="preserve">Table </w:t>
      </w:r>
      <w:r w:rsidR="00575CA7">
        <w:fldChar w:fldCharType="begin"/>
      </w:r>
      <w:r w:rsidR="00D75024">
        <w:instrText xml:space="preserve"> SEQ Table \* ARABIC </w:instrText>
      </w:r>
      <w:r w:rsidR="00575CA7">
        <w:fldChar w:fldCharType="separate"/>
      </w:r>
      <w:r w:rsidR="002B4C72">
        <w:rPr>
          <w:noProof/>
        </w:rPr>
        <w:t>11</w:t>
      </w:r>
      <w:r w:rsidR="00575CA7">
        <w:fldChar w:fldCharType="end"/>
      </w:r>
      <w:bookmarkEnd w:id="298"/>
      <w:r>
        <w:t>.</w:t>
      </w:r>
      <w:proofErr w:type="gramEnd"/>
      <w:r>
        <w:t xml:space="preserve"> Relationships between INFI and risk factors (linear edge density, population density, stream flow, and watershed discontinuity with and without access management</w:t>
      </w:r>
      <w:bookmarkEnd w:id="297"/>
      <w:r w:rsidR="008C209D">
        <w:t>)</w:t>
      </w:r>
      <w:bookmarkEnd w:id="299"/>
    </w:p>
    <w:p w:rsidR="002877C3" w:rsidRDefault="002877C3" w:rsidP="009E4F21">
      <w:pPr>
        <w:pStyle w:val="BodyText"/>
        <w:rPr>
          <w:lang w:val="en-US"/>
        </w:rPr>
      </w:pPr>
    </w:p>
    <w:p w:rsidR="00DE61CE" w:rsidRDefault="00DE61CE" w:rsidP="009E4F21">
      <w:pPr>
        <w:pStyle w:val="BodyText"/>
        <w:rPr>
          <w:lang w:val="en-US"/>
        </w:rPr>
      </w:pPr>
    </w:p>
    <w:p w:rsidR="00A908F2" w:rsidRDefault="00A908F2" w:rsidP="002877C3">
      <w:pPr>
        <w:pStyle w:val="Heading3"/>
      </w:pPr>
      <w:bookmarkStart w:id="300" w:name="_Toc338703710"/>
      <w:r>
        <w:lastRenderedPageBreak/>
        <w:t>Sulphur Emissions</w:t>
      </w:r>
      <w:bookmarkEnd w:id="300"/>
    </w:p>
    <w:p w:rsidR="002B4C72" w:rsidRPr="00994608" w:rsidRDefault="002B4C72" w:rsidP="002B4C72">
      <w:pPr>
        <w:pStyle w:val="BodyText"/>
        <w:rPr>
          <w:sz w:val="20"/>
          <w:szCs w:val="20"/>
          <w:lang w:val="en-US"/>
        </w:rPr>
      </w:pPr>
      <w:r w:rsidRPr="00994608">
        <w:rPr>
          <w:sz w:val="20"/>
          <w:szCs w:val="20"/>
          <w:lang w:val="en-US"/>
        </w:rPr>
        <w:t>The extraction of heavy oil and bitumen often involves the production of sulphur dioxide (S0</w:t>
      </w:r>
      <w:r w:rsidRPr="00994608">
        <w:rPr>
          <w:sz w:val="20"/>
          <w:szCs w:val="20"/>
          <w:vertAlign w:val="subscript"/>
          <w:lang w:val="en-US"/>
        </w:rPr>
        <w:t>2</w:t>
      </w:r>
      <w:r w:rsidRPr="00994608">
        <w:rPr>
          <w:sz w:val="20"/>
          <w:szCs w:val="20"/>
          <w:lang w:val="en-US"/>
        </w:rPr>
        <w:t xml:space="preserve">), an atmospheric pollutant whose emission contributes to acid rain and can have significant adverse effects on soil and water chemistry and plant community structure. </w:t>
      </w:r>
    </w:p>
    <w:p w:rsidR="002B4C72" w:rsidRPr="00994608" w:rsidRDefault="002B4C72" w:rsidP="002B4C72">
      <w:pPr>
        <w:pStyle w:val="BodyText"/>
        <w:rPr>
          <w:sz w:val="20"/>
          <w:szCs w:val="20"/>
          <w:lang w:val="en-US"/>
        </w:rPr>
      </w:pPr>
      <w:r w:rsidRPr="00994608">
        <w:rPr>
          <w:sz w:val="20"/>
          <w:szCs w:val="20"/>
          <w:lang w:val="en-US"/>
        </w:rPr>
        <w:t>The ability of hydrocarbon processing facilities to remove S0</w:t>
      </w:r>
      <w:r w:rsidRPr="00994608">
        <w:rPr>
          <w:sz w:val="20"/>
          <w:szCs w:val="20"/>
          <w:vertAlign w:val="subscript"/>
          <w:lang w:val="en-US"/>
        </w:rPr>
        <w:t>2</w:t>
      </w:r>
      <w:r w:rsidRPr="00994608">
        <w:rPr>
          <w:sz w:val="20"/>
          <w:szCs w:val="20"/>
          <w:lang w:val="en-US"/>
        </w:rPr>
        <w:t xml:space="preserve"> from their production stream and therefore prevent its atmospheric emission is often related to the scale of the facility and the technologies deployed within a physical plant. From a regulatory perspective, the requirements of operators to remove S0</w:t>
      </w:r>
      <w:r w:rsidRPr="00994608">
        <w:rPr>
          <w:sz w:val="20"/>
          <w:szCs w:val="20"/>
          <w:vertAlign w:val="subscript"/>
          <w:lang w:val="en-US"/>
        </w:rPr>
        <w:t>2</w:t>
      </w:r>
      <w:r w:rsidRPr="00994608">
        <w:rPr>
          <w:sz w:val="20"/>
          <w:szCs w:val="20"/>
          <w:lang w:val="en-US"/>
        </w:rPr>
        <w:t xml:space="preserve"> are related to production rates of sulphur within the gas feed to the plant (Sulphur Recovery Guidelines, ERCB). The specific requirements of the Sulphur recovery guideline are listed in the table below:</w:t>
      </w:r>
    </w:p>
    <w:p w:rsidR="002B4C72" w:rsidRPr="00994608" w:rsidRDefault="002B4C72" w:rsidP="002B4C72">
      <w:pPr>
        <w:pStyle w:val="Caption"/>
        <w:rPr>
          <w:lang w:val="en-US"/>
        </w:rPr>
      </w:pPr>
      <w:bookmarkStart w:id="301" w:name="_Toc338703776"/>
      <w:proofErr w:type="gramStart"/>
      <w:r>
        <w:t xml:space="preserve">Table </w:t>
      </w:r>
      <w:fldSimple w:instr=" SEQ Table \* ARABIC ">
        <w:r>
          <w:rPr>
            <w:noProof/>
          </w:rPr>
          <w:t>12</w:t>
        </w:r>
      </w:fldSimple>
      <w:r>
        <w:rPr>
          <w:lang w:val="en-US"/>
        </w:rPr>
        <w:t>.</w:t>
      </w:r>
      <w:proofErr w:type="gramEnd"/>
      <w:r w:rsidRPr="00994608">
        <w:rPr>
          <w:lang w:val="en-US"/>
        </w:rPr>
        <w:t xml:space="preserve"> Alberta Sulphur Recovery Guidelines</w:t>
      </w:r>
      <w:bookmarkEnd w:id="301"/>
    </w:p>
    <w:tbl>
      <w:tblPr>
        <w:tblStyle w:val="LightList-Accent1"/>
        <w:tblW w:w="0" w:type="auto"/>
        <w:tblInd w:w="108" w:type="dxa"/>
        <w:tblLook w:val="04A0"/>
      </w:tblPr>
      <w:tblGrid>
        <w:gridCol w:w="3284"/>
        <w:gridCol w:w="3804"/>
      </w:tblGrid>
      <w:tr w:rsidR="002B4C72" w:rsidRPr="00994608" w:rsidTr="00A502AC">
        <w:trPr>
          <w:cnfStyle w:val="100000000000"/>
        </w:trPr>
        <w:tc>
          <w:tcPr>
            <w:cnfStyle w:val="001000000000"/>
            <w:tcW w:w="3284" w:type="dxa"/>
          </w:tcPr>
          <w:p w:rsidR="002B4C72" w:rsidRPr="00994608" w:rsidRDefault="002B4C72" w:rsidP="00A502AC">
            <w:pPr>
              <w:pStyle w:val="BodyText"/>
              <w:spacing w:before="40" w:after="40"/>
              <w:jc w:val="center"/>
              <w:rPr>
                <w:sz w:val="20"/>
                <w:szCs w:val="20"/>
                <w:lang w:val="en-US"/>
              </w:rPr>
            </w:pPr>
            <w:r w:rsidRPr="00994608">
              <w:rPr>
                <w:sz w:val="20"/>
                <w:szCs w:val="20"/>
                <w:lang w:val="en-US"/>
              </w:rPr>
              <w:t>Sulphur Inlet Rate (tonnes /day)</w:t>
            </w:r>
          </w:p>
        </w:tc>
        <w:tc>
          <w:tcPr>
            <w:tcW w:w="3804" w:type="dxa"/>
          </w:tcPr>
          <w:p w:rsidR="002B4C72" w:rsidRPr="00994608" w:rsidRDefault="002B4C72" w:rsidP="00A502AC">
            <w:pPr>
              <w:pStyle w:val="BodyText"/>
              <w:spacing w:before="40" w:after="40"/>
              <w:jc w:val="center"/>
              <w:cnfStyle w:val="100000000000"/>
              <w:rPr>
                <w:sz w:val="20"/>
                <w:szCs w:val="20"/>
                <w:lang w:val="en-US"/>
              </w:rPr>
            </w:pPr>
            <w:r w:rsidRPr="00994608">
              <w:rPr>
                <w:sz w:val="20"/>
                <w:szCs w:val="20"/>
                <w:lang w:val="en-US"/>
              </w:rPr>
              <w:t>Sulphur that must be recovered</w:t>
            </w:r>
          </w:p>
        </w:tc>
      </w:tr>
      <w:tr w:rsidR="002B4C72" w:rsidRPr="00994608" w:rsidTr="00A502AC">
        <w:trPr>
          <w:cnfStyle w:val="000000100000"/>
        </w:trPr>
        <w:tc>
          <w:tcPr>
            <w:cnfStyle w:val="001000000000"/>
            <w:tcW w:w="3284" w:type="dxa"/>
          </w:tcPr>
          <w:p w:rsidR="002B4C72" w:rsidRPr="00994608" w:rsidRDefault="002B4C72" w:rsidP="00A502AC">
            <w:pPr>
              <w:pStyle w:val="BodyText"/>
              <w:spacing w:before="40" w:after="40"/>
              <w:jc w:val="center"/>
              <w:rPr>
                <w:b w:val="0"/>
                <w:sz w:val="20"/>
                <w:szCs w:val="20"/>
                <w:lang w:val="en-US"/>
              </w:rPr>
            </w:pPr>
            <w:r w:rsidRPr="00994608">
              <w:rPr>
                <w:b w:val="0"/>
                <w:sz w:val="20"/>
                <w:szCs w:val="20"/>
                <w:lang w:val="en-US"/>
              </w:rPr>
              <w:t>1 - 5</w:t>
            </w:r>
          </w:p>
        </w:tc>
        <w:tc>
          <w:tcPr>
            <w:tcW w:w="3804" w:type="dxa"/>
          </w:tcPr>
          <w:p w:rsidR="002B4C72" w:rsidRPr="00994608" w:rsidRDefault="002B4C72" w:rsidP="00A502AC">
            <w:pPr>
              <w:pStyle w:val="BodyText"/>
              <w:spacing w:before="40" w:after="40"/>
              <w:jc w:val="center"/>
              <w:cnfStyle w:val="000000100000"/>
              <w:rPr>
                <w:sz w:val="20"/>
                <w:szCs w:val="20"/>
                <w:lang w:val="en-US"/>
              </w:rPr>
            </w:pPr>
            <w:r w:rsidRPr="00994608">
              <w:rPr>
                <w:sz w:val="20"/>
                <w:szCs w:val="20"/>
                <w:lang w:val="en-US"/>
              </w:rPr>
              <w:t>70%</w:t>
            </w:r>
          </w:p>
        </w:tc>
      </w:tr>
      <w:tr w:rsidR="002B4C72" w:rsidRPr="00994608" w:rsidTr="00A502AC">
        <w:tc>
          <w:tcPr>
            <w:cnfStyle w:val="001000000000"/>
            <w:tcW w:w="3284" w:type="dxa"/>
          </w:tcPr>
          <w:p w:rsidR="002B4C72" w:rsidRPr="00994608" w:rsidRDefault="002B4C72" w:rsidP="00A502AC">
            <w:pPr>
              <w:pStyle w:val="BodyText"/>
              <w:spacing w:before="40" w:after="40"/>
              <w:jc w:val="center"/>
              <w:rPr>
                <w:b w:val="0"/>
                <w:sz w:val="20"/>
                <w:szCs w:val="20"/>
                <w:lang w:val="en-US"/>
              </w:rPr>
            </w:pPr>
            <w:r w:rsidRPr="00994608">
              <w:rPr>
                <w:b w:val="0"/>
                <w:sz w:val="20"/>
                <w:szCs w:val="20"/>
                <w:lang w:val="en-US"/>
              </w:rPr>
              <w:t>&gt;5 - 10</w:t>
            </w:r>
          </w:p>
        </w:tc>
        <w:tc>
          <w:tcPr>
            <w:tcW w:w="3804" w:type="dxa"/>
          </w:tcPr>
          <w:p w:rsidR="002B4C72" w:rsidRPr="00994608" w:rsidRDefault="002B4C72" w:rsidP="00A502AC">
            <w:pPr>
              <w:pStyle w:val="BodyText"/>
              <w:spacing w:before="40" w:after="40"/>
              <w:jc w:val="center"/>
              <w:cnfStyle w:val="000000000000"/>
              <w:rPr>
                <w:sz w:val="20"/>
                <w:szCs w:val="20"/>
                <w:lang w:val="en-US"/>
              </w:rPr>
            </w:pPr>
            <w:r w:rsidRPr="00994608">
              <w:rPr>
                <w:sz w:val="20"/>
                <w:szCs w:val="20"/>
                <w:lang w:val="en-US"/>
              </w:rPr>
              <w:t>90%</w:t>
            </w:r>
          </w:p>
        </w:tc>
      </w:tr>
      <w:tr w:rsidR="002B4C72" w:rsidRPr="00994608" w:rsidTr="00A502AC">
        <w:trPr>
          <w:cnfStyle w:val="000000100000"/>
        </w:trPr>
        <w:tc>
          <w:tcPr>
            <w:cnfStyle w:val="001000000000"/>
            <w:tcW w:w="3284" w:type="dxa"/>
          </w:tcPr>
          <w:p w:rsidR="002B4C72" w:rsidRPr="00994608" w:rsidRDefault="002B4C72" w:rsidP="00A502AC">
            <w:pPr>
              <w:pStyle w:val="BodyText"/>
              <w:spacing w:before="40" w:after="40"/>
              <w:jc w:val="center"/>
              <w:rPr>
                <w:b w:val="0"/>
                <w:sz w:val="20"/>
                <w:szCs w:val="20"/>
                <w:lang w:val="en-US"/>
              </w:rPr>
            </w:pPr>
            <w:r w:rsidRPr="00994608">
              <w:rPr>
                <w:b w:val="0"/>
                <w:sz w:val="20"/>
                <w:szCs w:val="20"/>
                <w:lang w:val="en-US"/>
              </w:rPr>
              <w:t>&gt;10 - 50</w:t>
            </w:r>
          </w:p>
        </w:tc>
        <w:tc>
          <w:tcPr>
            <w:tcW w:w="3804" w:type="dxa"/>
          </w:tcPr>
          <w:p w:rsidR="002B4C72" w:rsidRPr="00994608" w:rsidRDefault="002B4C72" w:rsidP="00A502AC">
            <w:pPr>
              <w:pStyle w:val="BodyText"/>
              <w:spacing w:before="40" w:after="40"/>
              <w:jc w:val="center"/>
              <w:cnfStyle w:val="000000100000"/>
              <w:rPr>
                <w:sz w:val="20"/>
                <w:szCs w:val="20"/>
                <w:lang w:val="en-US"/>
              </w:rPr>
            </w:pPr>
            <w:r w:rsidRPr="00994608">
              <w:rPr>
                <w:sz w:val="20"/>
                <w:szCs w:val="20"/>
                <w:lang w:val="en-US"/>
              </w:rPr>
              <w:t>96.2%</w:t>
            </w:r>
          </w:p>
        </w:tc>
      </w:tr>
      <w:tr w:rsidR="002B4C72" w:rsidRPr="00994608" w:rsidTr="00A502AC">
        <w:tc>
          <w:tcPr>
            <w:cnfStyle w:val="001000000000"/>
            <w:tcW w:w="3284" w:type="dxa"/>
          </w:tcPr>
          <w:p w:rsidR="002B4C72" w:rsidRPr="00994608" w:rsidRDefault="002B4C72" w:rsidP="00A502AC">
            <w:pPr>
              <w:pStyle w:val="BodyText"/>
              <w:spacing w:before="40" w:after="40"/>
              <w:jc w:val="center"/>
              <w:rPr>
                <w:b w:val="0"/>
                <w:sz w:val="20"/>
                <w:szCs w:val="20"/>
                <w:lang w:val="en-US"/>
              </w:rPr>
            </w:pPr>
            <w:r w:rsidRPr="00994608">
              <w:rPr>
                <w:b w:val="0"/>
                <w:sz w:val="20"/>
                <w:szCs w:val="20"/>
                <w:lang w:val="en-US"/>
              </w:rPr>
              <w:t>&gt;50 - 200</w:t>
            </w:r>
          </w:p>
        </w:tc>
        <w:tc>
          <w:tcPr>
            <w:tcW w:w="3804" w:type="dxa"/>
          </w:tcPr>
          <w:p w:rsidR="002B4C72" w:rsidRPr="00994608" w:rsidRDefault="002B4C72" w:rsidP="00A502AC">
            <w:pPr>
              <w:pStyle w:val="BodyText"/>
              <w:spacing w:before="40" w:after="40"/>
              <w:jc w:val="center"/>
              <w:cnfStyle w:val="000000000000"/>
              <w:rPr>
                <w:sz w:val="20"/>
                <w:szCs w:val="20"/>
                <w:lang w:val="en-US"/>
              </w:rPr>
            </w:pPr>
            <w:r w:rsidRPr="00994608">
              <w:rPr>
                <w:sz w:val="20"/>
                <w:szCs w:val="20"/>
                <w:lang w:val="en-US"/>
              </w:rPr>
              <w:t>98-5% - 98.8%</w:t>
            </w:r>
          </w:p>
        </w:tc>
      </w:tr>
      <w:tr w:rsidR="002B4C72" w:rsidRPr="00994608" w:rsidTr="00A502AC">
        <w:trPr>
          <w:cnfStyle w:val="000000100000"/>
        </w:trPr>
        <w:tc>
          <w:tcPr>
            <w:cnfStyle w:val="001000000000"/>
            <w:tcW w:w="3284" w:type="dxa"/>
          </w:tcPr>
          <w:p w:rsidR="002B4C72" w:rsidRPr="00994608" w:rsidRDefault="002B4C72" w:rsidP="00A502AC">
            <w:pPr>
              <w:pStyle w:val="BodyText"/>
              <w:spacing w:before="40" w:after="40"/>
              <w:jc w:val="center"/>
              <w:rPr>
                <w:b w:val="0"/>
                <w:sz w:val="20"/>
                <w:szCs w:val="20"/>
                <w:lang w:val="en-US"/>
              </w:rPr>
            </w:pPr>
            <w:r w:rsidRPr="00994608">
              <w:rPr>
                <w:b w:val="0"/>
                <w:sz w:val="20"/>
                <w:szCs w:val="20"/>
                <w:lang w:val="en-US"/>
              </w:rPr>
              <w:t>&gt;200</w:t>
            </w:r>
          </w:p>
        </w:tc>
        <w:tc>
          <w:tcPr>
            <w:tcW w:w="3804" w:type="dxa"/>
          </w:tcPr>
          <w:p w:rsidR="002B4C72" w:rsidRPr="00994608" w:rsidRDefault="002B4C72" w:rsidP="00A502AC">
            <w:pPr>
              <w:pStyle w:val="BodyText"/>
              <w:spacing w:before="40" w:after="40"/>
              <w:jc w:val="center"/>
              <w:cnfStyle w:val="000000100000"/>
              <w:rPr>
                <w:sz w:val="20"/>
                <w:szCs w:val="20"/>
                <w:lang w:val="en-US"/>
              </w:rPr>
            </w:pPr>
            <w:r w:rsidRPr="00994608">
              <w:rPr>
                <w:sz w:val="20"/>
                <w:szCs w:val="20"/>
                <w:lang w:val="en-US"/>
              </w:rPr>
              <w:t>99.8%</w:t>
            </w:r>
          </w:p>
        </w:tc>
      </w:tr>
    </w:tbl>
    <w:p w:rsidR="002B4C72" w:rsidRPr="00994608" w:rsidRDefault="002B4C72" w:rsidP="002B4C72">
      <w:pPr>
        <w:pStyle w:val="BodyText"/>
        <w:rPr>
          <w:sz w:val="20"/>
          <w:szCs w:val="20"/>
          <w:lang w:val="en-US"/>
        </w:rPr>
      </w:pPr>
      <w:r w:rsidRPr="00994608">
        <w:rPr>
          <w:sz w:val="20"/>
          <w:szCs w:val="20"/>
          <w:lang w:val="en-US"/>
        </w:rPr>
        <w:t>Adapted from Table 1 of ERCB Interim Directive ID 2001-3</w:t>
      </w:r>
    </w:p>
    <w:p w:rsidR="002B4C72" w:rsidRPr="00994608" w:rsidRDefault="002B4C72" w:rsidP="002B4C72">
      <w:pPr>
        <w:pStyle w:val="BodyText"/>
        <w:rPr>
          <w:sz w:val="20"/>
          <w:szCs w:val="20"/>
          <w:lang w:val="en-US"/>
        </w:rPr>
      </w:pPr>
      <w:r w:rsidRPr="00994608">
        <w:rPr>
          <w:sz w:val="20"/>
          <w:szCs w:val="20"/>
          <w:lang w:val="en-US"/>
        </w:rPr>
        <w:t>In general, this would mean that smaller hydrocarbon facilities (i.e. those with lower hydrocarbon production) would require less (or zero) sulphur recover and larger faculties would require more. Based on our calculations of the average per unit sulphur in the region there is a reasonable expectation that there would be three classes of bitumen production facilities in the region.</w:t>
      </w:r>
    </w:p>
    <w:p w:rsidR="002B4C72" w:rsidRPr="00994608" w:rsidRDefault="002B4C72" w:rsidP="002B4C72">
      <w:pPr>
        <w:pStyle w:val="BodyText"/>
        <w:rPr>
          <w:sz w:val="20"/>
          <w:szCs w:val="20"/>
          <w:lang w:val="en-US"/>
        </w:rPr>
      </w:pPr>
      <w:r w:rsidRPr="00994608">
        <w:rPr>
          <w:sz w:val="20"/>
          <w:szCs w:val="20"/>
          <w:lang w:val="en-US"/>
        </w:rPr>
        <w:t>The design-based per unit S0</w:t>
      </w:r>
      <w:r w:rsidRPr="00994608">
        <w:rPr>
          <w:sz w:val="20"/>
          <w:szCs w:val="20"/>
          <w:vertAlign w:val="subscript"/>
          <w:lang w:val="en-US"/>
        </w:rPr>
        <w:t>2</w:t>
      </w:r>
      <w:r w:rsidRPr="00994608">
        <w:rPr>
          <w:sz w:val="20"/>
          <w:szCs w:val="20"/>
          <w:lang w:val="en-US"/>
        </w:rPr>
        <w:t xml:space="preserve"> production rates (i.e. based on the rates of production and sulphur emission in the project applications and approvals) from bitumen facilities in the region vary significantly (0.178-0.5521 kg S0</w:t>
      </w:r>
      <w:r w:rsidRPr="00994608">
        <w:rPr>
          <w:sz w:val="20"/>
          <w:szCs w:val="20"/>
          <w:vertAlign w:val="subscript"/>
          <w:lang w:val="en-US"/>
        </w:rPr>
        <w:t>2</w:t>
      </w:r>
      <w:r w:rsidRPr="00994608">
        <w:rPr>
          <w:sz w:val="20"/>
          <w:szCs w:val="20"/>
          <w:lang w:val="en-US"/>
        </w:rPr>
        <w:t>/ m</w:t>
      </w:r>
      <w:r w:rsidRPr="00994608">
        <w:rPr>
          <w:sz w:val="20"/>
          <w:szCs w:val="20"/>
          <w:vertAlign w:val="superscript"/>
          <w:lang w:val="en-US"/>
        </w:rPr>
        <w:t>3</w:t>
      </w:r>
      <w:r w:rsidRPr="00994608">
        <w:rPr>
          <w:sz w:val="20"/>
          <w:szCs w:val="20"/>
          <w:lang w:val="en-US"/>
        </w:rPr>
        <w:t xml:space="preserve"> of bitumen produced) with a mean rate of 0.38 kg/m</w:t>
      </w:r>
      <w:r w:rsidRPr="00994608">
        <w:rPr>
          <w:sz w:val="20"/>
          <w:szCs w:val="20"/>
          <w:vertAlign w:val="superscript"/>
          <w:lang w:val="en-US"/>
        </w:rPr>
        <w:t>3</w:t>
      </w:r>
      <w:r w:rsidRPr="00994608">
        <w:rPr>
          <w:sz w:val="20"/>
          <w:szCs w:val="20"/>
          <w:lang w:val="en-US"/>
        </w:rPr>
        <w:t>. For the operating facilities in the CLFN SA the mean is about the same. For the purposes of these analyses, a conservative value of 0.25 kg S0</w:t>
      </w:r>
      <w:r w:rsidRPr="00994608">
        <w:rPr>
          <w:sz w:val="20"/>
          <w:szCs w:val="20"/>
          <w:vertAlign w:val="subscript"/>
          <w:lang w:val="en-US"/>
        </w:rPr>
        <w:t>2</w:t>
      </w:r>
      <w:r w:rsidRPr="00994608">
        <w:rPr>
          <w:sz w:val="20"/>
          <w:szCs w:val="20"/>
          <w:lang w:val="en-US"/>
        </w:rPr>
        <w:t>/ m</w:t>
      </w:r>
      <w:r w:rsidRPr="00994608">
        <w:rPr>
          <w:sz w:val="20"/>
          <w:szCs w:val="20"/>
          <w:vertAlign w:val="superscript"/>
          <w:lang w:val="en-US"/>
        </w:rPr>
        <w:t>3</w:t>
      </w:r>
      <w:r w:rsidRPr="00994608">
        <w:rPr>
          <w:sz w:val="20"/>
          <w:szCs w:val="20"/>
          <w:lang w:val="en-US"/>
        </w:rPr>
        <w:t xml:space="preserve"> of bitumen produced </w:t>
      </w:r>
      <w:proofErr w:type="gramStart"/>
      <w:r w:rsidRPr="00994608">
        <w:rPr>
          <w:sz w:val="20"/>
          <w:szCs w:val="20"/>
          <w:lang w:val="en-US"/>
        </w:rPr>
        <w:t>was</w:t>
      </w:r>
      <w:proofErr w:type="gramEnd"/>
      <w:r w:rsidRPr="00994608">
        <w:rPr>
          <w:sz w:val="20"/>
          <w:szCs w:val="20"/>
          <w:lang w:val="en-US"/>
        </w:rPr>
        <w:t xml:space="preserve"> adopted.</w:t>
      </w:r>
    </w:p>
    <w:p w:rsidR="002B4C72" w:rsidRPr="00994608" w:rsidRDefault="002B4C72" w:rsidP="002B4C72">
      <w:pPr>
        <w:pStyle w:val="Caption"/>
        <w:rPr>
          <w:lang w:val="en-US"/>
        </w:rPr>
      </w:pPr>
      <w:bookmarkStart w:id="302" w:name="_Toc338703777"/>
      <w:proofErr w:type="gramStart"/>
      <w:r>
        <w:t xml:space="preserve">Table </w:t>
      </w:r>
      <w:fldSimple w:instr=" SEQ Table \* ARABIC ">
        <w:r>
          <w:rPr>
            <w:noProof/>
          </w:rPr>
          <w:t>13</w:t>
        </w:r>
      </w:fldSimple>
      <w:r>
        <w:t>.</w:t>
      </w:r>
      <w:proofErr w:type="gramEnd"/>
      <w:r>
        <w:t xml:space="preserve"> </w:t>
      </w:r>
      <w:r w:rsidRPr="00994608">
        <w:rPr>
          <w:lang w:val="en-US"/>
        </w:rPr>
        <w:t>Classes of Bitumen Extraction Facilities</w:t>
      </w:r>
      <w:bookmarkEnd w:id="302"/>
    </w:p>
    <w:tbl>
      <w:tblPr>
        <w:tblStyle w:val="LightList-Accent1"/>
        <w:tblW w:w="0" w:type="auto"/>
        <w:tblInd w:w="108" w:type="dxa"/>
        <w:tblLook w:val="04A0"/>
      </w:tblPr>
      <w:tblGrid>
        <w:gridCol w:w="672"/>
        <w:gridCol w:w="426"/>
        <w:gridCol w:w="850"/>
        <w:gridCol w:w="1134"/>
        <w:gridCol w:w="1072"/>
        <w:gridCol w:w="1105"/>
        <w:gridCol w:w="993"/>
        <w:gridCol w:w="2693"/>
      </w:tblGrid>
      <w:tr w:rsidR="002B4C72" w:rsidRPr="00994608" w:rsidTr="00A502AC">
        <w:trPr>
          <w:cnfStyle w:val="100000000000"/>
        </w:trPr>
        <w:tc>
          <w:tcPr>
            <w:cnfStyle w:val="001000000000"/>
            <w:tcW w:w="590" w:type="dxa"/>
          </w:tcPr>
          <w:p w:rsidR="002B4C72" w:rsidRPr="00994608" w:rsidRDefault="002B4C72" w:rsidP="00A502AC">
            <w:pPr>
              <w:pStyle w:val="BodyText"/>
              <w:spacing w:before="40" w:after="0"/>
              <w:jc w:val="center"/>
              <w:rPr>
                <w:sz w:val="20"/>
                <w:szCs w:val="20"/>
                <w:lang w:val="en-US"/>
              </w:rPr>
            </w:pPr>
          </w:p>
          <w:p w:rsidR="002B4C72" w:rsidRPr="00994608" w:rsidRDefault="002B4C72" w:rsidP="00A502AC">
            <w:pPr>
              <w:pStyle w:val="BodyText"/>
              <w:spacing w:before="40" w:after="0"/>
              <w:jc w:val="center"/>
              <w:rPr>
                <w:sz w:val="20"/>
                <w:szCs w:val="20"/>
                <w:lang w:val="en-US"/>
              </w:rPr>
            </w:pPr>
            <w:r w:rsidRPr="00994608">
              <w:rPr>
                <w:sz w:val="20"/>
                <w:szCs w:val="20"/>
                <w:lang w:val="en-US"/>
              </w:rPr>
              <w:t>Class</w:t>
            </w:r>
          </w:p>
        </w:tc>
        <w:tc>
          <w:tcPr>
            <w:tcW w:w="426" w:type="dxa"/>
          </w:tcPr>
          <w:p w:rsidR="002B4C72" w:rsidRPr="00994608" w:rsidRDefault="002B4C72" w:rsidP="00A502AC">
            <w:pPr>
              <w:pStyle w:val="BodyText"/>
              <w:spacing w:before="40" w:after="0"/>
              <w:jc w:val="center"/>
              <w:cnfStyle w:val="100000000000"/>
              <w:rPr>
                <w:sz w:val="20"/>
                <w:szCs w:val="20"/>
                <w:lang w:val="en-US"/>
              </w:rPr>
            </w:pPr>
          </w:p>
        </w:tc>
        <w:tc>
          <w:tcPr>
            <w:tcW w:w="850" w:type="dxa"/>
          </w:tcPr>
          <w:p w:rsidR="002B4C72" w:rsidRPr="00994608" w:rsidRDefault="002B4C72" w:rsidP="00A502AC">
            <w:pPr>
              <w:pStyle w:val="BodyText"/>
              <w:spacing w:before="40" w:after="0"/>
              <w:jc w:val="center"/>
              <w:cnfStyle w:val="100000000000"/>
              <w:rPr>
                <w:sz w:val="20"/>
                <w:szCs w:val="20"/>
                <w:lang w:val="en-US"/>
              </w:rPr>
            </w:pPr>
            <w:r w:rsidRPr="00994608">
              <w:rPr>
                <w:sz w:val="20"/>
                <w:szCs w:val="20"/>
                <w:lang w:val="en-US"/>
              </w:rPr>
              <w:t>Inlet S</w:t>
            </w:r>
          </w:p>
          <w:p w:rsidR="002B4C72" w:rsidRPr="00994608" w:rsidRDefault="002B4C72" w:rsidP="00A502AC">
            <w:pPr>
              <w:pStyle w:val="BodyText"/>
              <w:spacing w:before="40" w:after="0"/>
              <w:jc w:val="center"/>
              <w:cnfStyle w:val="100000000000"/>
              <w:rPr>
                <w:sz w:val="20"/>
                <w:szCs w:val="20"/>
                <w:lang w:val="en-US"/>
              </w:rPr>
            </w:pPr>
            <w:r w:rsidRPr="00994608">
              <w:rPr>
                <w:sz w:val="20"/>
                <w:szCs w:val="20"/>
                <w:lang w:val="en-US"/>
              </w:rPr>
              <w:t>(t/d)</w:t>
            </w:r>
          </w:p>
        </w:tc>
        <w:tc>
          <w:tcPr>
            <w:tcW w:w="1134" w:type="dxa"/>
          </w:tcPr>
          <w:p w:rsidR="002B4C72" w:rsidRPr="00994608" w:rsidRDefault="002B4C72" w:rsidP="00A502AC">
            <w:pPr>
              <w:pStyle w:val="BodyText"/>
              <w:spacing w:before="40" w:after="0"/>
              <w:jc w:val="center"/>
              <w:cnfStyle w:val="100000000000"/>
              <w:rPr>
                <w:sz w:val="20"/>
                <w:szCs w:val="20"/>
                <w:lang w:val="en-US"/>
              </w:rPr>
            </w:pPr>
            <w:r w:rsidRPr="00994608">
              <w:rPr>
                <w:sz w:val="20"/>
                <w:szCs w:val="20"/>
                <w:lang w:val="en-US"/>
              </w:rPr>
              <w:t>Recovery</w:t>
            </w:r>
          </w:p>
          <w:p w:rsidR="002B4C72" w:rsidRPr="00994608" w:rsidRDefault="002B4C72" w:rsidP="00A502AC">
            <w:pPr>
              <w:pStyle w:val="BodyText"/>
              <w:spacing w:before="40" w:after="0"/>
              <w:jc w:val="center"/>
              <w:cnfStyle w:val="100000000000"/>
              <w:rPr>
                <w:sz w:val="20"/>
                <w:szCs w:val="20"/>
                <w:lang w:val="en-US"/>
              </w:rPr>
            </w:pPr>
            <w:r w:rsidRPr="00994608">
              <w:rPr>
                <w:sz w:val="20"/>
                <w:szCs w:val="20"/>
                <w:lang w:val="en-US"/>
              </w:rPr>
              <w:t>(%)</w:t>
            </w:r>
          </w:p>
        </w:tc>
        <w:tc>
          <w:tcPr>
            <w:tcW w:w="992" w:type="dxa"/>
          </w:tcPr>
          <w:p w:rsidR="002B4C72" w:rsidRPr="00994608" w:rsidRDefault="002B4C72" w:rsidP="00A502AC">
            <w:pPr>
              <w:pStyle w:val="BodyText"/>
              <w:spacing w:before="40" w:after="0"/>
              <w:jc w:val="right"/>
              <w:cnfStyle w:val="100000000000"/>
              <w:rPr>
                <w:sz w:val="20"/>
                <w:szCs w:val="20"/>
                <w:lang w:val="en-US"/>
              </w:rPr>
            </w:pPr>
            <w:r w:rsidRPr="00994608">
              <w:rPr>
                <w:sz w:val="20"/>
                <w:szCs w:val="20"/>
                <w:lang w:val="en-US"/>
              </w:rPr>
              <w:t>Min</w:t>
            </w:r>
            <w:r w:rsidR="005717D2">
              <w:rPr>
                <w:sz w:val="20"/>
                <w:szCs w:val="20"/>
                <w:lang w:val="en-US"/>
              </w:rPr>
              <w:t>imum</w:t>
            </w:r>
          </w:p>
          <w:p w:rsidR="002B4C72" w:rsidRPr="00994608" w:rsidRDefault="002B4C72" w:rsidP="00A502AC">
            <w:pPr>
              <w:pStyle w:val="BodyText"/>
              <w:spacing w:before="40" w:after="0"/>
              <w:jc w:val="right"/>
              <w:cnfStyle w:val="100000000000"/>
              <w:rPr>
                <w:sz w:val="20"/>
                <w:szCs w:val="20"/>
                <w:lang w:val="en-US"/>
              </w:rPr>
            </w:pPr>
            <w:r w:rsidRPr="00994608">
              <w:rPr>
                <w:sz w:val="20"/>
                <w:szCs w:val="20"/>
                <w:lang w:val="en-US"/>
              </w:rPr>
              <w:t>(</w:t>
            </w:r>
            <w:r w:rsidR="005717D2" w:rsidRPr="00994608">
              <w:rPr>
                <w:sz w:val="20"/>
                <w:szCs w:val="20"/>
                <w:lang w:val="en-US"/>
              </w:rPr>
              <w:t>m</w:t>
            </w:r>
            <w:r w:rsidR="005717D2" w:rsidRPr="00994608">
              <w:rPr>
                <w:sz w:val="20"/>
                <w:szCs w:val="20"/>
                <w:vertAlign w:val="superscript"/>
                <w:lang w:val="en-US"/>
              </w:rPr>
              <w:t>3</w:t>
            </w:r>
            <w:r w:rsidRPr="00994608">
              <w:rPr>
                <w:sz w:val="20"/>
                <w:szCs w:val="20"/>
                <w:lang w:val="en-US"/>
              </w:rPr>
              <w:t>)</w:t>
            </w:r>
          </w:p>
        </w:tc>
        <w:tc>
          <w:tcPr>
            <w:tcW w:w="992" w:type="dxa"/>
          </w:tcPr>
          <w:p w:rsidR="002B4C72" w:rsidRPr="00994608" w:rsidRDefault="005717D2" w:rsidP="00A502AC">
            <w:pPr>
              <w:pStyle w:val="BodyText"/>
              <w:spacing w:before="40" w:after="0"/>
              <w:jc w:val="right"/>
              <w:cnfStyle w:val="100000000000"/>
              <w:rPr>
                <w:sz w:val="20"/>
                <w:szCs w:val="20"/>
                <w:lang w:val="en-US"/>
              </w:rPr>
            </w:pPr>
            <w:r>
              <w:rPr>
                <w:sz w:val="20"/>
                <w:szCs w:val="20"/>
                <w:lang w:val="en-US"/>
              </w:rPr>
              <w:t>Maximum</w:t>
            </w:r>
          </w:p>
          <w:p w:rsidR="002B4C72" w:rsidRPr="00994608" w:rsidRDefault="002B4C72" w:rsidP="00A502AC">
            <w:pPr>
              <w:pStyle w:val="BodyText"/>
              <w:spacing w:before="40" w:after="0"/>
              <w:jc w:val="right"/>
              <w:cnfStyle w:val="100000000000"/>
              <w:rPr>
                <w:sz w:val="20"/>
                <w:szCs w:val="20"/>
                <w:lang w:val="en-US"/>
              </w:rPr>
            </w:pPr>
            <w:r w:rsidRPr="00994608">
              <w:rPr>
                <w:sz w:val="20"/>
                <w:szCs w:val="20"/>
                <w:lang w:val="en-US"/>
              </w:rPr>
              <w:t>(</w:t>
            </w:r>
            <w:r w:rsidR="005717D2" w:rsidRPr="00994608">
              <w:rPr>
                <w:sz w:val="20"/>
                <w:szCs w:val="20"/>
                <w:lang w:val="en-US"/>
              </w:rPr>
              <w:t>m</w:t>
            </w:r>
            <w:r w:rsidR="005717D2" w:rsidRPr="00994608">
              <w:rPr>
                <w:sz w:val="20"/>
                <w:szCs w:val="20"/>
                <w:vertAlign w:val="superscript"/>
                <w:lang w:val="en-US"/>
              </w:rPr>
              <w:t>3</w:t>
            </w:r>
            <w:r w:rsidRPr="00994608">
              <w:rPr>
                <w:sz w:val="20"/>
                <w:szCs w:val="20"/>
                <w:lang w:val="en-US"/>
              </w:rPr>
              <w:t>)</w:t>
            </w:r>
          </w:p>
        </w:tc>
        <w:tc>
          <w:tcPr>
            <w:tcW w:w="993" w:type="dxa"/>
          </w:tcPr>
          <w:p w:rsidR="002B4C72" w:rsidRPr="00994608" w:rsidRDefault="005717D2" w:rsidP="00A502AC">
            <w:pPr>
              <w:pStyle w:val="BodyText"/>
              <w:spacing w:before="40" w:after="0"/>
              <w:jc w:val="right"/>
              <w:cnfStyle w:val="100000000000"/>
              <w:rPr>
                <w:sz w:val="20"/>
                <w:szCs w:val="20"/>
                <w:lang w:val="en-US"/>
              </w:rPr>
            </w:pPr>
            <w:r>
              <w:rPr>
                <w:sz w:val="20"/>
                <w:szCs w:val="20"/>
                <w:lang w:val="en-US"/>
              </w:rPr>
              <w:t>Average</w:t>
            </w:r>
          </w:p>
          <w:p w:rsidR="002B4C72" w:rsidRPr="00994608" w:rsidRDefault="002B4C72" w:rsidP="00A502AC">
            <w:pPr>
              <w:pStyle w:val="BodyText"/>
              <w:spacing w:before="40" w:after="0"/>
              <w:jc w:val="right"/>
              <w:cnfStyle w:val="100000000000"/>
              <w:rPr>
                <w:sz w:val="20"/>
                <w:szCs w:val="20"/>
                <w:lang w:val="en-US"/>
              </w:rPr>
            </w:pPr>
            <w:r w:rsidRPr="00994608">
              <w:rPr>
                <w:sz w:val="20"/>
                <w:szCs w:val="20"/>
                <w:lang w:val="en-US"/>
              </w:rPr>
              <w:t>(</w:t>
            </w:r>
            <w:r w:rsidR="005717D2" w:rsidRPr="00994608">
              <w:rPr>
                <w:sz w:val="20"/>
                <w:szCs w:val="20"/>
                <w:lang w:val="en-US"/>
              </w:rPr>
              <w:t>m</w:t>
            </w:r>
            <w:r w:rsidR="005717D2" w:rsidRPr="00994608">
              <w:rPr>
                <w:sz w:val="20"/>
                <w:szCs w:val="20"/>
                <w:vertAlign w:val="superscript"/>
                <w:lang w:val="en-US"/>
              </w:rPr>
              <w:t>3</w:t>
            </w:r>
            <w:r w:rsidRPr="00994608">
              <w:rPr>
                <w:sz w:val="20"/>
                <w:szCs w:val="20"/>
                <w:lang w:val="en-US"/>
              </w:rPr>
              <w:t>)</w:t>
            </w:r>
          </w:p>
        </w:tc>
        <w:tc>
          <w:tcPr>
            <w:tcW w:w="2693" w:type="dxa"/>
          </w:tcPr>
          <w:p w:rsidR="002B4C72" w:rsidRPr="00994608" w:rsidRDefault="002B4C72" w:rsidP="00A502AC">
            <w:pPr>
              <w:pStyle w:val="BodyText"/>
              <w:spacing w:before="40" w:after="0"/>
              <w:jc w:val="center"/>
              <w:cnfStyle w:val="100000000000"/>
              <w:rPr>
                <w:sz w:val="20"/>
                <w:szCs w:val="20"/>
                <w:lang w:val="en-US"/>
              </w:rPr>
            </w:pPr>
            <w:r w:rsidRPr="00994608">
              <w:rPr>
                <w:sz w:val="20"/>
                <w:szCs w:val="20"/>
                <w:lang w:val="en-US"/>
              </w:rPr>
              <w:t>Effective  S Coefficient</w:t>
            </w:r>
          </w:p>
          <w:p w:rsidR="002B4C72" w:rsidRPr="00994608" w:rsidRDefault="002B4C72" w:rsidP="00A502AC">
            <w:pPr>
              <w:pStyle w:val="BodyText"/>
              <w:spacing w:before="40" w:after="0"/>
              <w:jc w:val="center"/>
              <w:cnfStyle w:val="100000000000"/>
              <w:rPr>
                <w:sz w:val="20"/>
                <w:szCs w:val="20"/>
                <w:lang w:val="en-US"/>
              </w:rPr>
            </w:pPr>
            <w:r w:rsidRPr="00994608">
              <w:rPr>
                <w:sz w:val="20"/>
                <w:szCs w:val="20"/>
                <w:lang w:val="en-US"/>
              </w:rPr>
              <w:t>(tonnes S /</w:t>
            </w:r>
            <w:r w:rsidR="005717D2" w:rsidRPr="00994608">
              <w:rPr>
                <w:sz w:val="20"/>
                <w:szCs w:val="20"/>
                <w:lang w:val="en-US"/>
              </w:rPr>
              <w:t xml:space="preserve"> m</w:t>
            </w:r>
            <w:r w:rsidR="005717D2" w:rsidRPr="00994608">
              <w:rPr>
                <w:sz w:val="20"/>
                <w:szCs w:val="20"/>
                <w:vertAlign w:val="superscript"/>
                <w:lang w:val="en-US"/>
              </w:rPr>
              <w:t>3</w:t>
            </w:r>
            <w:r w:rsidRPr="00994608">
              <w:rPr>
                <w:sz w:val="20"/>
                <w:szCs w:val="20"/>
                <w:lang w:val="en-US"/>
              </w:rPr>
              <w:t xml:space="preserve"> bitumen)</w:t>
            </w:r>
          </w:p>
        </w:tc>
      </w:tr>
      <w:tr w:rsidR="002B4C72" w:rsidRPr="00994608" w:rsidTr="00A502AC">
        <w:trPr>
          <w:cnfStyle w:val="000000100000"/>
        </w:trPr>
        <w:tc>
          <w:tcPr>
            <w:cnfStyle w:val="001000000000"/>
            <w:tcW w:w="590" w:type="dxa"/>
          </w:tcPr>
          <w:p w:rsidR="002B4C72" w:rsidRPr="00994608" w:rsidRDefault="002B4C72" w:rsidP="00A502AC">
            <w:pPr>
              <w:pStyle w:val="BodyText"/>
              <w:spacing w:before="40" w:after="0"/>
              <w:jc w:val="center"/>
              <w:rPr>
                <w:sz w:val="20"/>
                <w:szCs w:val="20"/>
                <w:lang w:val="en-US"/>
              </w:rPr>
            </w:pPr>
            <w:r w:rsidRPr="00994608">
              <w:rPr>
                <w:sz w:val="20"/>
                <w:szCs w:val="20"/>
                <w:lang w:val="en-US"/>
              </w:rPr>
              <w:t>S</w:t>
            </w:r>
          </w:p>
        </w:tc>
        <w:tc>
          <w:tcPr>
            <w:tcW w:w="426" w:type="dxa"/>
          </w:tcPr>
          <w:p w:rsidR="002B4C72" w:rsidRPr="00994608" w:rsidRDefault="002B4C72" w:rsidP="00A502AC">
            <w:pPr>
              <w:pStyle w:val="BodyText"/>
              <w:spacing w:before="40" w:after="0"/>
              <w:jc w:val="center"/>
              <w:cnfStyle w:val="000000100000"/>
              <w:rPr>
                <w:b/>
                <w:sz w:val="20"/>
                <w:szCs w:val="20"/>
                <w:lang w:val="en-US"/>
              </w:rPr>
            </w:pPr>
            <w:r w:rsidRPr="00994608">
              <w:rPr>
                <w:b/>
                <w:sz w:val="20"/>
                <w:szCs w:val="20"/>
                <w:lang w:val="en-US"/>
              </w:rPr>
              <w:t>1</w:t>
            </w:r>
          </w:p>
        </w:tc>
        <w:tc>
          <w:tcPr>
            <w:tcW w:w="850" w:type="dxa"/>
          </w:tcPr>
          <w:p w:rsidR="002B4C72" w:rsidRPr="00994608" w:rsidRDefault="002B4C72" w:rsidP="00A502AC">
            <w:pPr>
              <w:pStyle w:val="BodyText"/>
              <w:spacing w:before="40" w:after="0"/>
              <w:jc w:val="center"/>
              <w:cnfStyle w:val="000000100000"/>
              <w:rPr>
                <w:sz w:val="20"/>
                <w:szCs w:val="20"/>
                <w:lang w:val="en-US"/>
              </w:rPr>
            </w:pPr>
            <w:r w:rsidRPr="00994608">
              <w:rPr>
                <w:sz w:val="20"/>
                <w:szCs w:val="20"/>
                <w:lang w:val="en-US"/>
              </w:rPr>
              <w:t>1-5</w:t>
            </w:r>
          </w:p>
        </w:tc>
        <w:tc>
          <w:tcPr>
            <w:tcW w:w="1134" w:type="dxa"/>
          </w:tcPr>
          <w:p w:rsidR="002B4C72" w:rsidRPr="00994608" w:rsidRDefault="002B4C72" w:rsidP="00A502AC">
            <w:pPr>
              <w:pStyle w:val="BodyText"/>
              <w:spacing w:before="40" w:after="0"/>
              <w:jc w:val="center"/>
              <w:cnfStyle w:val="000000100000"/>
              <w:rPr>
                <w:sz w:val="20"/>
                <w:szCs w:val="20"/>
                <w:lang w:val="en-US"/>
              </w:rPr>
            </w:pPr>
            <w:r w:rsidRPr="00994608">
              <w:rPr>
                <w:sz w:val="20"/>
                <w:szCs w:val="20"/>
                <w:lang w:val="en-US"/>
              </w:rPr>
              <w:t>0%</w:t>
            </w:r>
          </w:p>
        </w:tc>
        <w:tc>
          <w:tcPr>
            <w:tcW w:w="992" w:type="dxa"/>
          </w:tcPr>
          <w:p w:rsidR="002B4C72" w:rsidRPr="00994608" w:rsidRDefault="002B4C72" w:rsidP="00A502AC">
            <w:pPr>
              <w:pStyle w:val="BodyText"/>
              <w:spacing w:before="40" w:after="0"/>
              <w:jc w:val="right"/>
              <w:cnfStyle w:val="000000100000"/>
              <w:rPr>
                <w:sz w:val="20"/>
                <w:szCs w:val="20"/>
                <w:lang w:val="en-US"/>
              </w:rPr>
            </w:pPr>
            <w:r w:rsidRPr="00994608">
              <w:rPr>
                <w:sz w:val="20"/>
                <w:szCs w:val="20"/>
                <w:lang w:val="en-US"/>
              </w:rPr>
              <w:t>0</w:t>
            </w:r>
          </w:p>
        </w:tc>
        <w:tc>
          <w:tcPr>
            <w:tcW w:w="992" w:type="dxa"/>
          </w:tcPr>
          <w:p w:rsidR="002B4C72" w:rsidRPr="00994608" w:rsidRDefault="002B4C72" w:rsidP="00A502AC">
            <w:pPr>
              <w:pStyle w:val="BodyText"/>
              <w:spacing w:before="40" w:after="0"/>
              <w:jc w:val="right"/>
              <w:cnfStyle w:val="000000100000"/>
              <w:rPr>
                <w:sz w:val="20"/>
                <w:szCs w:val="20"/>
                <w:lang w:val="en-US"/>
              </w:rPr>
            </w:pPr>
            <w:r w:rsidRPr="00994608">
              <w:rPr>
                <w:sz w:val="20"/>
                <w:szCs w:val="20"/>
                <w:lang w:val="en-US"/>
              </w:rPr>
              <w:t>8,000</w:t>
            </w:r>
          </w:p>
        </w:tc>
        <w:tc>
          <w:tcPr>
            <w:tcW w:w="993" w:type="dxa"/>
          </w:tcPr>
          <w:p w:rsidR="002B4C72" w:rsidRPr="00994608" w:rsidRDefault="002B4C72" w:rsidP="00A502AC">
            <w:pPr>
              <w:pStyle w:val="BodyText"/>
              <w:spacing w:before="40" w:after="0"/>
              <w:jc w:val="right"/>
              <w:cnfStyle w:val="000000100000"/>
              <w:rPr>
                <w:sz w:val="20"/>
                <w:szCs w:val="20"/>
                <w:lang w:val="en-US"/>
              </w:rPr>
            </w:pPr>
            <w:r w:rsidRPr="00994608">
              <w:rPr>
                <w:sz w:val="20"/>
                <w:szCs w:val="20"/>
                <w:lang w:val="en-US"/>
              </w:rPr>
              <w:t>5,000</w:t>
            </w:r>
          </w:p>
        </w:tc>
        <w:tc>
          <w:tcPr>
            <w:tcW w:w="2693" w:type="dxa"/>
          </w:tcPr>
          <w:p w:rsidR="002B4C72" w:rsidRPr="00994608" w:rsidRDefault="002B4C72" w:rsidP="00A502AC">
            <w:pPr>
              <w:pStyle w:val="BodyText"/>
              <w:spacing w:before="40" w:after="0"/>
              <w:jc w:val="center"/>
              <w:cnfStyle w:val="000000100000"/>
              <w:rPr>
                <w:sz w:val="20"/>
                <w:szCs w:val="20"/>
                <w:lang w:val="en-US"/>
              </w:rPr>
            </w:pPr>
            <w:r w:rsidRPr="00994608">
              <w:rPr>
                <w:sz w:val="20"/>
                <w:szCs w:val="20"/>
                <w:lang w:val="en-US"/>
              </w:rPr>
              <w:t>0.000250</w:t>
            </w:r>
          </w:p>
        </w:tc>
      </w:tr>
      <w:tr w:rsidR="002B4C72" w:rsidRPr="00994608" w:rsidTr="00A502AC">
        <w:tc>
          <w:tcPr>
            <w:cnfStyle w:val="001000000000"/>
            <w:tcW w:w="590" w:type="dxa"/>
          </w:tcPr>
          <w:p w:rsidR="002B4C72" w:rsidRPr="00994608" w:rsidRDefault="002B4C72" w:rsidP="00A502AC">
            <w:pPr>
              <w:pStyle w:val="BodyText"/>
              <w:spacing w:before="40" w:after="0"/>
              <w:jc w:val="center"/>
              <w:rPr>
                <w:sz w:val="20"/>
                <w:szCs w:val="20"/>
                <w:lang w:val="en-US"/>
              </w:rPr>
            </w:pPr>
            <w:r w:rsidRPr="00994608">
              <w:rPr>
                <w:sz w:val="20"/>
                <w:szCs w:val="20"/>
                <w:lang w:val="en-US"/>
              </w:rPr>
              <w:t>M</w:t>
            </w:r>
          </w:p>
        </w:tc>
        <w:tc>
          <w:tcPr>
            <w:tcW w:w="426" w:type="dxa"/>
          </w:tcPr>
          <w:p w:rsidR="002B4C72" w:rsidRPr="00994608" w:rsidRDefault="002B4C72" w:rsidP="00A502AC">
            <w:pPr>
              <w:pStyle w:val="BodyText"/>
              <w:spacing w:before="40" w:after="0"/>
              <w:jc w:val="center"/>
              <w:cnfStyle w:val="000000000000"/>
              <w:rPr>
                <w:b/>
                <w:sz w:val="20"/>
                <w:szCs w:val="20"/>
                <w:lang w:val="en-US"/>
              </w:rPr>
            </w:pPr>
            <w:r w:rsidRPr="00994608">
              <w:rPr>
                <w:b/>
                <w:sz w:val="20"/>
                <w:szCs w:val="20"/>
                <w:lang w:val="en-US"/>
              </w:rPr>
              <w:t>2</w:t>
            </w:r>
          </w:p>
        </w:tc>
        <w:tc>
          <w:tcPr>
            <w:tcW w:w="850" w:type="dxa"/>
          </w:tcPr>
          <w:p w:rsidR="002B4C72" w:rsidRPr="00994608" w:rsidRDefault="002B4C72" w:rsidP="00A502AC">
            <w:pPr>
              <w:pStyle w:val="BodyText"/>
              <w:spacing w:before="40" w:after="0"/>
              <w:jc w:val="center"/>
              <w:cnfStyle w:val="000000000000"/>
              <w:rPr>
                <w:sz w:val="20"/>
                <w:szCs w:val="20"/>
                <w:lang w:val="en-US"/>
              </w:rPr>
            </w:pPr>
            <w:r w:rsidRPr="00994608">
              <w:rPr>
                <w:sz w:val="20"/>
                <w:szCs w:val="20"/>
                <w:lang w:val="en-US"/>
              </w:rPr>
              <w:t>&gt;5-10</w:t>
            </w:r>
          </w:p>
        </w:tc>
        <w:tc>
          <w:tcPr>
            <w:tcW w:w="1134" w:type="dxa"/>
          </w:tcPr>
          <w:p w:rsidR="002B4C72" w:rsidRPr="00994608" w:rsidRDefault="002B4C72" w:rsidP="00A502AC">
            <w:pPr>
              <w:pStyle w:val="BodyText"/>
              <w:spacing w:before="40" w:after="0"/>
              <w:jc w:val="center"/>
              <w:cnfStyle w:val="000000000000"/>
              <w:rPr>
                <w:sz w:val="20"/>
                <w:szCs w:val="20"/>
                <w:lang w:val="en-US"/>
              </w:rPr>
            </w:pPr>
            <w:r w:rsidRPr="00994608">
              <w:rPr>
                <w:sz w:val="20"/>
                <w:szCs w:val="20"/>
                <w:lang w:val="en-US"/>
              </w:rPr>
              <w:t>70%</w:t>
            </w:r>
          </w:p>
        </w:tc>
        <w:tc>
          <w:tcPr>
            <w:tcW w:w="992" w:type="dxa"/>
          </w:tcPr>
          <w:p w:rsidR="002B4C72" w:rsidRPr="00994608" w:rsidRDefault="002B4C72" w:rsidP="00A502AC">
            <w:pPr>
              <w:pStyle w:val="BodyText"/>
              <w:spacing w:before="40" w:after="0"/>
              <w:jc w:val="right"/>
              <w:cnfStyle w:val="000000000000"/>
              <w:rPr>
                <w:sz w:val="20"/>
                <w:szCs w:val="20"/>
                <w:lang w:val="en-US"/>
              </w:rPr>
            </w:pPr>
            <w:r w:rsidRPr="00994608">
              <w:rPr>
                <w:sz w:val="20"/>
                <w:szCs w:val="20"/>
                <w:lang w:val="en-US"/>
              </w:rPr>
              <w:t>8,001</w:t>
            </w:r>
          </w:p>
        </w:tc>
        <w:tc>
          <w:tcPr>
            <w:tcW w:w="992" w:type="dxa"/>
          </w:tcPr>
          <w:p w:rsidR="002B4C72" w:rsidRPr="00994608" w:rsidRDefault="002B4C72" w:rsidP="00A502AC">
            <w:pPr>
              <w:pStyle w:val="BodyText"/>
              <w:spacing w:before="40" w:after="0"/>
              <w:jc w:val="right"/>
              <w:cnfStyle w:val="000000000000"/>
              <w:rPr>
                <w:sz w:val="20"/>
                <w:szCs w:val="20"/>
                <w:lang w:val="en-US"/>
              </w:rPr>
            </w:pPr>
            <w:r w:rsidRPr="00994608">
              <w:rPr>
                <w:sz w:val="20"/>
                <w:szCs w:val="20"/>
                <w:lang w:val="en-US"/>
              </w:rPr>
              <w:t>40,000</w:t>
            </w:r>
          </w:p>
        </w:tc>
        <w:tc>
          <w:tcPr>
            <w:tcW w:w="993" w:type="dxa"/>
          </w:tcPr>
          <w:p w:rsidR="002B4C72" w:rsidRPr="00994608" w:rsidRDefault="002B4C72" w:rsidP="00A502AC">
            <w:pPr>
              <w:pStyle w:val="BodyText"/>
              <w:spacing w:before="40" w:after="0"/>
              <w:jc w:val="right"/>
              <w:cnfStyle w:val="000000000000"/>
              <w:rPr>
                <w:sz w:val="20"/>
                <w:szCs w:val="20"/>
                <w:lang w:val="en-US"/>
              </w:rPr>
            </w:pPr>
            <w:r w:rsidRPr="00994608">
              <w:rPr>
                <w:sz w:val="20"/>
                <w:szCs w:val="20"/>
                <w:lang w:val="en-US"/>
              </w:rPr>
              <w:t>25,000</w:t>
            </w:r>
          </w:p>
        </w:tc>
        <w:tc>
          <w:tcPr>
            <w:tcW w:w="2693" w:type="dxa"/>
          </w:tcPr>
          <w:p w:rsidR="002B4C72" w:rsidRPr="00994608" w:rsidRDefault="002B4C72" w:rsidP="00A502AC">
            <w:pPr>
              <w:pStyle w:val="BodyText"/>
              <w:spacing w:before="40" w:after="0"/>
              <w:jc w:val="center"/>
              <w:cnfStyle w:val="000000000000"/>
              <w:rPr>
                <w:sz w:val="20"/>
                <w:szCs w:val="20"/>
                <w:lang w:val="en-US"/>
              </w:rPr>
            </w:pPr>
            <w:r w:rsidRPr="00994608">
              <w:rPr>
                <w:sz w:val="20"/>
                <w:szCs w:val="20"/>
                <w:lang w:val="en-US"/>
              </w:rPr>
              <w:t>.0000075</w:t>
            </w:r>
          </w:p>
        </w:tc>
      </w:tr>
      <w:tr w:rsidR="002B4C72" w:rsidRPr="00994608" w:rsidTr="00A502AC">
        <w:trPr>
          <w:cnfStyle w:val="000000100000"/>
        </w:trPr>
        <w:tc>
          <w:tcPr>
            <w:cnfStyle w:val="001000000000"/>
            <w:tcW w:w="590" w:type="dxa"/>
          </w:tcPr>
          <w:p w:rsidR="002B4C72" w:rsidRPr="00994608" w:rsidRDefault="002B4C72" w:rsidP="00A502AC">
            <w:pPr>
              <w:pStyle w:val="BodyText"/>
              <w:spacing w:before="40" w:after="0"/>
              <w:jc w:val="center"/>
              <w:rPr>
                <w:sz w:val="20"/>
                <w:szCs w:val="20"/>
                <w:lang w:val="en-US"/>
              </w:rPr>
            </w:pPr>
            <w:r w:rsidRPr="00994608">
              <w:rPr>
                <w:sz w:val="20"/>
                <w:szCs w:val="20"/>
                <w:lang w:val="en-US"/>
              </w:rPr>
              <w:t>L</w:t>
            </w:r>
          </w:p>
        </w:tc>
        <w:tc>
          <w:tcPr>
            <w:tcW w:w="426" w:type="dxa"/>
          </w:tcPr>
          <w:p w:rsidR="002B4C72" w:rsidRPr="00994608" w:rsidRDefault="002B4C72" w:rsidP="00A502AC">
            <w:pPr>
              <w:pStyle w:val="BodyText"/>
              <w:spacing w:before="40" w:after="0"/>
              <w:jc w:val="center"/>
              <w:cnfStyle w:val="000000100000"/>
              <w:rPr>
                <w:b/>
                <w:sz w:val="20"/>
                <w:szCs w:val="20"/>
                <w:lang w:val="en-US"/>
              </w:rPr>
            </w:pPr>
            <w:r w:rsidRPr="00994608">
              <w:rPr>
                <w:b/>
                <w:sz w:val="20"/>
                <w:szCs w:val="20"/>
                <w:lang w:val="en-US"/>
              </w:rPr>
              <w:t>3</w:t>
            </w:r>
          </w:p>
        </w:tc>
        <w:tc>
          <w:tcPr>
            <w:tcW w:w="850" w:type="dxa"/>
          </w:tcPr>
          <w:p w:rsidR="002B4C72" w:rsidRPr="00994608" w:rsidRDefault="002B4C72" w:rsidP="00A502AC">
            <w:pPr>
              <w:pStyle w:val="BodyText"/>
              <w:spacing w:before="40" w:after="0"/>
              <w:jc w:val="center"/>
              <w:cnfStyle w:val="000000100000"/>
              <w:rPr>
                <w:sz w:val="20"/>
                <w:szCs w:val="20"/>
                <w:lang w:val="en-US"/>
              </w:rPr>
            </w:pPr>
            <w:r w:rsidRPr="00994608">
              <w:rPr>
                <w:sz w:val="20"/>
                <w:szCs w:val="20"/>
                <w:lang w:val="en-US"/>
              </w:rPr>
              <w:t>&gt;10-50</w:t>
            </w:r>
          </w:p>
        </w:tc>
        <w:tc>
          <w:tcPr>
            <w:tcW w:w="1134" w:type="dxa"/>
          </w:tcPr>
          <w:p w:rsidR="002B4C72" w:rsidRPr="00994608" w:rsidRDefault="002B4C72" w:rsidP="00A502AC">
            <w:pPr>
              <w:pStyle w:val="BodyText"/>
              <w:spacing w:before="40" w:after="0"/>
              <w:jc w:val="center"/>
              <w:cnfStyle w:val="000000100000"/>
              <w:rPr>
                <w:sz w:val="20"/>
                <w:szCs w:val="20"/>
                <w:lang w:val="en-US"/>
              </w:rPr>
            </w:pPr>
            <w:r w:rsidRPr="00994608">
              <w:rPr>
                <w:sz w:val="20"/>
                <w:szCs w:val="20"/>
                <w:lang w:val="en-US"/>
              </w:rPr>
              <w:t>90%</w:t>
            </w:r>
          </w:p>
        </w:tc>
        <w:tc>
          <w:tcPr>
            <w:tcW w:w="992" w:type="dxa"/>
          </w:tcPr>
          <w:p w:rsidR="002B4C72" w:rsidRPr="00994608" w:rsidRDefault="002B4C72" w:rsidP="00A502AC">
            <w:pPr>
              <w:pStyle w:val="BodyText"/>
              <w:spacing w:before="40" w:after="0"/>
              <w:jc w:val="right"/>
              <w:cnfStyle w:val="000000100000"/>
              <w:rPr>
                <w:sz w:val="20"/>
                <w:szCs w:val="20"/>
                <w:lang w:val="en-US"/>
              </w:rPr>
            </w:pPr>
            <w:r w:rsidRPr="00994608">
              <w:rPr>
                <w:sz w:val="20"/>
                <w:szCs w:val="20"/>
                <w:lang w:val="en-US"/>
              </w:rPr>
              <w:t>40,001</w:t>
            </w:r>
          </w:p>
        </w:tc>
        <w:tc>
          <w:tcPr>
            <w:tcW w:w="992" w:type="dxa"/>
          </w:tcPr>
          <w:p w:rsidR="002B4C72" w:rsidRPr="00994608" w:rsidRDefault="002B4C72" w:rsidP="00A502AC">
            <w:pPr>
              <w:pStyle w:val="BodyText"/>
              <w:spacing w:before="40" w:after="0"/>
              <w:jc w:val="right"/>
              <w:cnfStyle w:val="000000100000"/>
              <w:rPr>
                <w:sz w:val="20"/>
                <w:szCs w:val="20"/>
                <w:lang w:val="en-US"/>
              </w:rPr>
            </w:pPr>
            <w:r w:rsidRPr="00994608">
              <w:rPr>
                <w:sz w:val="20"/>
                <w:szCs w:val="20"/>
                <w:lang w:val="en-US"/>
              </w:rPr>
              <w:t>80,000</w:t>
            </w:r>
          </w:p>
        </w:tc>
        <w:tc>
          <w:tcPr>
            <w:tcW w:w="993" w:type="dxa"/>
          </w:tcPr>
          <w:p w:rsidR="002B4C72" w:rsidRPr="00994608" w:rsidRDefault="002B4C72" w:rsidP="00A502AC">
            <w:pPr>
              <w:pStyle w:val="BodyText"/>
              <w:spacing w:before="40" w:after="0"/>
              <w:jc w:val="right"/>
              <w:cnfStyle w:val="000000100000"/>
              <w:rPr>
                <w:sz w:val="20"/>
                <w:szCs w:val="20"/>
                <w:lang w:val="en-US"/>
              </w:rPr>
            </w:pPr>
            <w:r w:rsidRPr="00994608">
              <w:rPr>
                <w:sz w:val="20"/>
                <w:szCs w:val="20"/>
                <w:lang w:val="en-US"/>
              </w:rPr>
              <w:t>60,000</w:t>
            </w:r>
          </w:p>
        </w:tc>
        <w:tc>
          <w:tcPr>
            <w:tcW w:w="2693" w:type="dxa"/>
          </w:tcPr>
          <w:p w:rsidR="002B4C72" w:rsidRPr="00994608" w:rsidRDefault="002B4C72" w:rsidP="00A502AC">
            <w:pPr>
              <w:pStyle w:val="BodyText"/>
              <w:spacing w:before="40" w:after="0"/>
              <w:jc w:val="center"/>
              <w:cnfStyle w:val="000000100000"/>
              <w:rPr>
                <w:sz w:val="20"/>
                <w:szCs w:val="20"/>
                <w:lang w:val="en-US"/>
              </w:rPr>
            </w:pPr>
            <w:r w:rsidRPr="00994608">
              <w:rPr>
                <w:sz w:val="20"/>
                <w:szCs w:val="20"/>
                <w:lang w:val="en-US"/>
              </w:rPr>
              <w:t>0.000025</w:t>
            </w:r>
          </w:p>
        </w:tc>
      </w:tr>
      <w:tr w:rsidR="002B4C72" w:rsidRPr="00994608" w:rsidTr="00A502AC">
        <w:tc>
          <w:tcPr>
            <w:cnfStyle w:val="001000000000"/>
            <w:tcW w:w="590" w:type="dxa"/>
          </w:tcPr>
          <w:p w:rsidR="002B4C72" w:rsidRPr="00994608" w:rsidRDefault="002B4C72" w:rsidP="00A502AC">
            <w:pPr>
              <w:pStyle w:val="BodyText"/>
              <w:spacing w:before="40" w:after="0"/>
              <w:jc w:val="center"/>
              <w:rPr>
                <w:sz w:val="20"/>
                <w:szCs w:val="20"/>
                <w:lang w:val="en-US"/>
              </w:rPr>
            </w:pPr>
            <w:r w:rsidRPr="00994608">
              <w:rPr>
                <w:sz w:val="20"/>
                <w:szCs w:val="20"/>
                <w:lang w:val="en-US"/>
              </w:rPr>
              <w:t>VL</w:t>
            </w:r>
          </w:p>
        </w:tc>
        <w:tc>
          <w:tcPr>
            <w:tcW w:w="426" w:type="dxa"/>
          </w:tcPr>
          <w:p w:rsidR="002B4C72" w:rsidRPr="00994608" w:rsidRDefault="002B4C72" w:rsidP="00A502AC">
            <w:pPr>
              <w:pStyle w:val="BodyText"/>
              <w:spacing w:before="40" w:after="0"/>
              <w:jc w:val="center"/>
              <w:cnfStyle w:val="000000000000"/>
              <w:rPr>
                <w:b/>
                <w:sz w:val="20"/>
                <w:szCs w:val="20"/>
                <w:lang w:val="en-US"/>
              </w:rPr>
            </w:pPr>
            <w:r w:rsidRPr="00994608">
              <w:rPr>
                <w:b/>
                <w:sz w:val="20"/>
                <w:szCs w:val="20"/>
                <w:lang w:val="en-US"/>
              </w:rPr>
              <w:t>4</w:t>
            </w:r>
          </w:p>
        </w:tc>
        <w:tc>
          <w:tcPr>
            <w:tcW w:w="850" w:type="dxa"/>
          </w:tcPr>
          <w:p w:rsidR="002B4C72" w:rsidRPr="00994608" w:rsidRDefault="002B4C72" w:rsidP="00A502AC">
            <w:pPr>
              <w:pStyle w:val="BodyText"/>
              <w:spacing w:before="40" w:after="0"/>
              <w:jc w:val="center"/>
              <w:cnfStyle w:val="000000000000"/>
              <w:rPr>
                <w:sz w:val="20"/>
                <w:szCs w:val="20"/>
                <w:lang w:val="en-US"/>
              </w:rPr>
            </w:pPr>
            <w:r w:rsidRPr="00994608">
              <w:rPr>
                <w:sz w:val="20"/>
                <w:szCs w:val="20"/>
                <w:lang w:val="en-US"/>
              </w:rPr>
              <w:t>&gt;50</w:t>
            </w:r>
          </w:p>
        </w:tc>
        <w:tc>
          <w:tcPr>
            <w:tcW w:w="1134" w:type="dxa"/>
          </w:tcPr>
          <w:p w:rsidR="002B4C72" w:rsidRPr="00994608" w:rsidRDefault="002B4C72" w:rsidP="00A502AC">
            <w:pPr>
              <w:pStyle w:val="BodyText"/>
              <w:spacing w:before="40" w:after="0"/>
              <w:jc w:val="center"/>
              <w:cnfStyle w:val="000000000000"/>
              <w:rPr>
                <w:sz w:val="20"/>
                <w:szCs w:val="20"/>
                <w:lang w:val="en-US"/>
              </w:rPr>
            </w:pPr>
            <w:r w:rsidRPr="00994608">
              <w:rPr>
                <w:sz w:val="20"/>
                <w:szCs w:val="20"/>
                <w:lang w:val="en-US"/>
              </w:rPr>
              <w:t>96.2%</w:t>
            </w:r>
          </w:p>
        </w:tc>
        <w:tc>
          <w:tcPr>
            <w:tcW w:w="992" w:type="dxa"/>
          </w:tcPr>
          <w:p w:rsidR="002B4C72" w:rsidRPr="00994608" w:rsidRDefault="002B4C72" w:rsidP="00A502AC">
            <w:pPr>
              <w:pStyle w:val="BodyText"/>
              <w:spacing w:before="40" w:after="0"/>
              <w:jc w:val="right"/>
              <w:cnfStyle w:val="000000000000"/>
              <w:rPr>
                <w:sz w:val="20"/>
                <w:szCs w:val="20"/>
                <w:lang w:val="en-US"/>
              </w:rPr>
            </w:pPr>
            <w:r w:rsidRPr="00994608">
              <w:rPr>
                <w:sz w:val="20"/>
                <w:szCs w:val="20"/>
                <w:lang w:val="en-US"/>
              </w:rPr>
              <w:t>80,001</w:t>
            </w:r>
          </w:p>
        </w:tc>
        <w:tc>
          <w:tcPr>
            <w:tcW w:w="992" w:type="dxa"/>
          </w:tcPr>
          <w:p w:rsidR="002B4C72" w:rsidRPr="00994608" w:rsidRDefault="002B4C72" w:rsidP="00A502AC">
            <w:pPr>
              <w:pStyle w:val="BodyText"/>
              <w:spacing w:before="40" w:after="0"/>
              <w:jc w:val="right"/>
              <w:cnfStyle w:val="000000000000"/>
              <w:rPr>
                <w:sz w:val="20"/>
                <w:szCs w:val="20"/>
                <w:lang w:val="en-US"/>
              </w:rPr>
            </w:pPr>
            <w:r w:rsidRPr="00994608">
              <w:rPr>
                <w:sz w:val="20"/>
                <w:szCs w:val="20"/>
                <w:lang w:val="en-US"/>
              </w:rPr>
              <w:t>400,000</w:t>
            </w:r>
          </w:p>
        </w:tc>
        <w:tc>
          <w:tcPr>
            <w:tcW w:w="993" w:type="dxa"/>
          </w:tcPr>
          <w:p w:rsidR="002B4C72" w:rsidRPr="00994608" w:rsidRDefault="002B4C72" w:rsidP="00A502AC">
            <w:pPr>
              <w:pStyle w:val="BodyText"/>
              <w:spacing w:before="40" w:after="0"/>
              <w:jc w:val="right"/>
              <w:cnfStyle w:val="000000000000"/>
              <w:rPr>
                <w:sz w:val="20"/>
                <w:szCs w:val="20"/>
                <w:lang w:val="en-US"/>
              </w:rPr>
            </w:pPr>
            <w:r w:rsidRPr="00994608">
              <w:rPr>
                <w:sz w:val="20"/>
                <w:szCs w:val="20"/>
                <w:lang w:val="en-US"/>
              </w:rPr>
              <w:t>250,000</w:t>
            </w:r>
          </w:p>
        </w:tc>
        <w:tc>
          <w:tcPr>
            <w:tcW w:w="2693" w:type="dxa"/>
          </w:tcPr>
          <w:p w:rsidR="002B4C72" w:rsidRPr="00994608" w:rsidRDefault="002B4C72" w:rsidP="00A502AC">
            <w:pPr>
              <w:pStyle w:val="BodyText"/>
              <w:spacing w:before="40" w:after="0"/>
              <w:jc w:val="center"/>
              <w:cnfStyle w:val="000000000000"/>
              <w:rPr>
                <w:sz w:val="20"/>
                <w:szCs w:val="20"/>
                <w:lang w:val="en-US"/>
              </w:rPr>
            </w:pPr>
            <w:r w:rsidRPr="00994608">
              <w:rPr>
                <w:sz w:val="20"/>
                <w:szCs w:val="20"/>
                <w:lang w:val="en-US"/>
              </w:rPr>
              <w:t>0.000010</w:t>
            </w:r>
          </w:p>
        </w:tc>
      </w:tr>
    </w:tbl>
    <w:p w:rsidR="002B4C72" w:rsidRDefault="002B4C72" w:rsidP="002B4C72">
      <w:pPr>
        <w:pStyle w:val="BodyText"/>
        <w:rPr>
          <w:sz w:val="20"/>
          <w:szCs w:val="20"/>
          <w:lang w:val="en-US"/>
        </w:rPr>
      </w:pPr>
    </w:p>
    <w:p w:rsidR="002B4C72" w:rsidRPr="00994608" w:rsidRDefault="002B4C72" w:rsidP="002B4C72">
      <w:pPr>
        <w:pStyle w:val="BodyText"/>
        <w:rPr>
          <w:sz w:val="20"/>
          <w:szCs w:val="20"/>
          <w:lang w:val="en-US"/>
        </w:rPr>
      </w:pPr>
      <w:r w:rsidRPr="00994608">
        <w:rPr>
          <w:sz w:val="20"/>
          <w:szCs w:val="20"/>
          <w:lang w:val="en-US"/>
        </w:rPr>
        <w:t>For example, using the sulphur coefficient of 0.0025 t/</w:t>
      </w:r>
      <w:r w:rsidRPr="002B4C72">
        <w:rPr>
          <w:sz w:val="20"/>
          <w:szCs w:val="20"/>
          <w:lang w:val="en-US"/>
        </w:rPr>
        <w:t xml:space="preserve"> </w:t>
      </w:r>
      <w:r w:rsidRPr="00994608">
        <w:rPr>
          <w:sz w:val="20"/>
          <w:szCs w:val="20"/>
          <w:lang w:val="en-US"/>
        </w:rPr>
        <w:t>m</w:t>
      </w:r>
      <w:r w:rsidRPr="00994608">
        <w:rPr>
          <w:sz w:val="20"/>
          <w:szCs w:val="20"/>
          <w:vertAlign w:val="superscript"/>
          <w:lang w:val="en-US"/>
        </w:rPr>
        <w:t>3</w:t>
      </w:r>
      <w:r w:rsidRPr="00994608">
        <w:rPr>
          <w:sz w:val="20"/>
          <w:szCs w:val="20"/>
          <w:lang w:val="en-US"/>
        </w:rPr>
        <w:t>, smaller facilities producing less than 8000 m</w:t>
      </w:r>
      <w:r w:rsidRPr="00994608">
        <w:rPr>
          <w:sz w:val="20"/>
          <w:szCs w:val="20"/>
          <w:vertAlign w:val="superscript"/>
          <w:lang w:val="en-US"/>
        </w:rPr>
        <w:t>3</w:t>
      </w:r>
      <w:r w:rsidRPr="00994608">
        <w:rPr>
          <w:sz w:val="20"/>
          <w:szCs w:val="20"/>
          <w:lang w:val="en-US"/>
        </w:rPr>
        <w:t xml:space="preserve"> of bitumen/day are not required to remove S02, medium scale facilities producing 8,000-40,000 m</w:t>
      </w:r>
      <w:r w:rsidRPr="00994608">
        <w:rPr>
          <w:sz w:val="20"/>
          <w:szCs w:val="20"/>
          <w:vertAlign w:val="superscript"/>
          <w:lang w:val="en-US"/>
        </w:rPr>
        <w:t>3</w:t>
      </w:r>
      <w:r w:rsidRPr="00994608">
        <w:rPr>
          <w:sz w:val="20"/>
          <w:szCs w:val="20"/>
          <w:lang w:val="en-US"/>
        </w:rPr>
        <w:t>of bitumen/day are required to recover 70%, and large facilities of 40,000-80,000 m</w:t>
      </w:r>
      <w:r w:rsidRPr="00994608">
        <w:rPr>
          <w:sz w:val="20"/>
          <w:szCs w:val="20"/>
          <w:vertAlign w:val="superscript"/>
          <w:lang w:val="en-US"/>
        </w:rPr>
        <w:t>3</w:t>
      </w:r>
      <w:r w:rsidRPr="00994608">
        <w:rPr>
          <w:sz w:val="20"/>
          <w:szCs w:val="20"/>
          <w:lang w:val="en-US"/>
        </w:rPr>
        <w:t>/day are required to remove 90% of the contaminant.</w:t>
      </w:r>
    </w:p>
    <w:p w:rsidR="002B4C72" w:rsidRPr="00994608" w:rsidRDefault="002B4C72" w:rsidP="002B4C72">
      <w:pPr>
        <w:pStyle w:val="BodyText"/>
        <w:rPr>
          <w:sz w:val="20"/>
          <w:szCs w:val="20"/>
          <w:lang w:val="en-US"/>
        </w:rPr>
      </w:pPr>
      <w:r w:rsidRPr="00994608">
        <w:rPr>
          <w:sz w:val="20"/>
          <w:szCs w:val="20"/>
          <w:lang w:val="en-US"/>
        </w:rPr>
        <w:t>To allow for the strategic level assessment of S0</w:t>
      </w:r>
      <w:r w:rsidRPr="00994608">
        <w:rPr>
          <w:sz w:val="20"/>
          <w:szCs w:val="20"/>
          <w:vertAlign w:val="subscript"/>
          <w:lang w:val="en-US"/>
        </w:rPr>
        <w:t>2</w:t>
      </w:r>
      <w:r w:rsidRPr="00994608">
        <w:rPr>
          <w:sz w:val="20"/>
          <w:szCs w:val="20"/>
          <w:lang w:val="en-US"/>
        </w:rPr>
        <w:t xml:space="preserve"> production and emission in the CLFN SA, a sensitivity analyses was completed that contrasted 3 different production possibilities. The largest class of facility, </w:t>
      </w:r>
      <w:proofErr w:type="gramStart"/>
      <w:r w:rsidRPr="00994608">
        <w:rPr>
          <w:sz w:val="20"/>
          <w:szCs w:val="20"/>
          <w:lang w:val="en-US"/>
        </w:rPr>
        <w:t>over 80,000 m</w:t>
      </w:r>
      <w:r w:rsidRPr="00994608">
        <w:rPr>
          <w:sz w:val="20"/>
          <w:szCs w:val="20"/>
          <w:vertAlign w:val="superscript"/>
          <w:lang w:val="en-US"/>
        </w:rPr>
        <w:t>3</w:t>
      </w:r>
      <w:r w:rsidRPr="00994608">
        <w:rPr>
          <w:sz w:val="20"/>
          <w:szCs w:val="20"/>
          <w:lang w:val="en-US"/>
        </w:rPr>
        <w:t>/day,</w:t>
      </w:r>
      <w:proofErr w:type="gramEnd"/>
      <w:r w:rsidRPr="00994608">
        <w:rPr>
          <w:sz w:val="20"/>
          <w:szCs w:val="20"/>
          <w:lang w:val="en-US"/>
        </w:rPr>
        <w:t xml:space="preserve"> was not included as it is unlikely that this size of facility would be developed in the region. These sensitivities explored the S0</w:t>
      </w:r>
      <w:r w:rsidRPr="00994608">
        <w:rPr>
          <w:sz w:val="20"/>
          <w:szCs w:val="20"/>
          <w:vertAlign w:val="subscript"/>
          <w:lang w:val="en-US"/>
        </w:rPr>
        <w:t>2</w:t>
      </w:r>
      <w:r w:rsidRPr="00994608">
        <w:rPr>
          <w:sz w:val="20"/>
          <w:szCs w:val="20"/>
          <w:lang w:val="en-US"/>
        </w:rPr>
        <w:t xml:space="preserve"> emissions if all bitumen production were to be completed using small, medium, or large facilities. In reality, bitumen production within the CLFN SA will be achieved using a </w:t>
      </w:r>
      <w:r w:rsidRPr="00994608">
        <w:rPr>
          <w:sz w:val="20"/>
          <w:szCs w:val="20"/>
          <w:lang w:val="en-US"/>
        </w:rPr>
        <w:lastRenderedPageBreak/>
        <w:t>combination of these facilities types, but this analytical approach enables stakeholders to better understand the likely range of possible annual and cumulative loading of S0</w:t>
      </w:r>
      <w:r w:rsidRPr="00994608">
        <w:rPr>
          <w:sz w:val="20"/>
          <w:szCs w:val="20"/>
          <w:vertAlign w:val="subscript"/>
          <w:lang w:val="en-US"/>
        </w:rPr>
        <w:t>2</w:t>
      </w:r>
      <w:r w:rsidRPr="00994608">
        <w:rPr>
          <w:sz w:val="20"/>
          <w:szCs w:val="20"/>
          <w:lang w:val="en-US"/>
        </w:rPr>
        <w:t xml:space="preserve"> on the regional landscape. These analyses make no attempt to quantify emission loading of S0</w:t>
      </w:r>
      <w:r w:rsidRPr="002B4C72">
        <w:rPr>
          <w:sz w:val="20"/>
          <w:szCs w:val="20"/>
          <w:vertAlign w:val="subscript"/>
          <w:lang w:val="en-US"/>
        </w:rPr>
        <w:t>2</w:t>
      </w:r>
      <w:r w:rsidRPr="00994608">
        <w:rPr>
          <w:sz w:val="20"/>
          <w:szCs w:val="20"/>
          <w:lang w:val="en-US"/>
        </w:rPr>
        <w:t xml:space="preserve"> coming from regions that are upwind of CLFN SA.</w:t>
      </w:r>
    </w:p>
    <w:p w:rsidR="002877C3" w:rsidRDefault="002877C3" w:rsidP="002877C3">
      <w:pPr>
        <w:pStyle w:val="Heading3"/>
      </w:pPr>
      <w:bookmarkStart w:id="303" w:name="_Toc338703711"/>
      <w:r>
        <w:t>Quantifying Risk</w:t>
      </w:r>
      <w:bookmarkEnd w:id="303"/>
    </w:p>
    <w:p w:rsidR="003D4DCB" w:rsidRDefault="002877C3" w:rsidP="002877C3">
      <w:pPr>
        <w:pStyle w:val="BodyText"/>
      </w:pPr>
      <w:r>
        <w:t xml:space="preserve">The </w:t>
      </w:r>
      <w:r w:rsidR="00C544DE">
        <w:t>land-use</w:t>
      </w:r>
      <w:r>
        <w:t xml:space="preserve"> and ecological indicators examined in this project are listed </w:t>
      </w:r>
      <w:r w:rsidR="0039374A">
        <w:t xml:space="preserve">in </w:t>
      </w:r>
      <w:r w:rsidR="00575CA7">
        <w:fldChar w:fldCharType="begin"/>
      </w:r>
      <w:r w:rsidR="0039374A">
        <w:instrText xml:space="preserve"> REF _Ref326162746 \h </w:instrText>
      </w:r>
      <w:r w:rsidR="00575CA7">
        <w:fldChar w:fldCharType="separate"/>
      </w:r>
      <w:r w:rsidR="003648B8">
        <w:t xml:space="preserve">Table </w:t>
      </w:r>
      <w:r w:rsidR="003648B8">
        <w:rPr>
          <w:noProof/>
        </w:rPr>
        <w:t>2</w:t>
      </w:r>
      <w:r w:rsidR="00575CA7">
        <w:fldChar w:fldCharType="end"/>
      </w:r>
      <w:r w:rsidR="0039374A">
        <w:t xml:space="preserve"> and </w:t>
      </w:r>
      <w:r w:rsidR="00575CA7">
        <w:fldChar w:fldCharType="begin"/>
      </w:r>
      <w:r w:rsidR="003D4DCB">
        <w:instrText xml:space="preserve"> REF _Ref326162565 \h </w:instrText>
      </w:r>
      <w:r w:rsidR="00575CA7">
        <w:fldChar w:fldCharType="separate"/>
      </w:r>
      <w:r w:rsidR="003648B8">
        <w:t xml:space="preserve">Figure </w:t>
      </w:r>
      <w:r w:rsidR="003648B8">
        <w:rPr>
          <w:noProof/>
        </w:rPr>
        <w:t>104</w:t>
      </w:r>
      <w:r w:rsidR="00575CA7">
        <w:fldChar w:fldCharType="end"/>
      </w:r>
      <w:r w:rsidR="003D4DCB">
        <w:t>.</w:t>
      </w:r>
    </w:p>
    <w:p w:rsidR="002877C3" w:rsidRDefault="002877C3" w:rsidP="002877C3">
      <w:pPr>
        <w:pStyle w:val="BodyText"/>
      </w:pPr>
      <w:r>
        <w:t xml:space="preserve">The </w:t>
      </w:r>
      <w:r w:rsidR="00C544DE">
        <w:t>land-use</w:t>
      </w:r>
      <w:r>
        <w:t xml:space="preserve"> indicators reported for the </w:t>
      </w:r>
      <w:r w:rsidR="0039374A">
        <w:t>CLFN SA</w:t>
      </w:r>
      <w:r>
        <w:t xml:space="preserve"> </w:t>
      </w:r>
      <w:r w:rsidR="003D4DCB">
        <w:t>relate statistically to</w:t>
      </w:r>
      <w:r>
        <w:t xml:space="preserve"> </w:t>
      </w:r>
      <w:r w:rsidR="003D4DCB">
        <w:t xml:space="preserve">direct </w:t>
      </w:r>
      <w:r w:rsidR="00C544DE">
        <w:t>land-use</w:t>
      </w:r>
      <w:r w:rsidR="003D4DCB">
        <w:t xml:space="preserve"> ‘footprint”, landscape composition or the </w:t>
      </w:r>
      <w:r>
        <w:t xml:space="preserve">degree of fragmentation.  Many wildlife and fish species have been found to be negatively correlated to increasing levels of habitat disturbance.  </w:t>
      </w:r>
      <w:r w:rsidRPr="00E66B99">
        <w:t xml:space="preserve">Increasing levels of surface disturbance </w:t>
      </w:r>
      <w:r>
        <w:t xml:space="preserve">and fragmentation </w:t>
      </w:r>
      <w:r w:rsidRPr="00E66B99">
        <w:t>generally represent increasing risks to</w:t>
      </w:r>
      <w:r>
        <w:t xml:space="preserve"> native wildlife and fish populations</w:t>
      </w:r>
      <w:r w:rsidR="0039374A">
        <w:t xml:space="preserve"> (</w:t>
      </w:r>
      <w:r w:rsidR="00575CA7">
        <w:fldChar w:fldCharType="begin"/>
      </w:r>
      <w:r w:rsidR="00A664B4">
        <w:instrText xml:space="preserve"> REF _Ref326162846 \h </w:instrText>
      </w:r>
      <w:r w:rsidR="00575CA7">
        <w:fldChar w:fldCharType="separate"/>
      </w:r>
      <w:r w:rsidR="003648B8">
        <w:t xml:space="preserve">Figure </w:t>
      </w:r>
      <w:r w:rsidR="003648B8">
        <w:rPr>
          <w:noProof/>
        </w:rPr>
        <w:t>107</w:t>
      </w:r>
      <w:r w:rsidR="00575CA7">
        <w:fldChar w:fldCharType="end"/>
      </w:r>
      <w:r w:rsidR="00A664B4">
        <w:t xml:space="preserve">, </w:t>
      </w:r>
      <w:r w:rsidR="00575CA7">
        <w:fldChar w:fldCharType="begin"/>
      </w:r>
      <w:r w:rsidR="00A664B4">
        <w:instrText xml:space="preserve"> REF _Ref326162848 \h </w:instrText>
      </w:r>
      <w:r w:rsidR="00575CA7">
        <w:fldChar w:fldCharType="separate"/>
      </w:r>
      <w:r w:rsidR="003648B8">
        <w:t xml:space="preserve">Figure </w:t>
      </w:r>
      <w:r w:rsidR="003648B8">
        <w:rPr>
          <w:noProof/>
        </w:rPr>
        <w:t>108</w:t>
      </w:r>
      <w:r w:rsidR="00575CA7">
        <w:fldChar w:fldCharType="end"/>
      </w:r>
      <w:r w:rsidR="00A664B4">
        <w:t xml:space="preserve">, </w:t>
      </w:r>
      <w:r w:rsidR="00575CA7">
        <w:fldChar w:fldCharType="begin"/>
      </w:r>
      <w:r w:rsidR="00A664B4">
        <w:instrText xml:space="preserve"> REF _Ref326162852 \h </w:instrText>
      </w:r>
      <w:r w:rsidR="00575CA7">
        <w:fldChar w:fldCharType="separate"/>
      </w:r>
      <w:r w:rsidR="003648B8">
        <w:t xml:space="preserve">Figure </w:t>
      </w:r>
      <w:r w:rsidR="003648B8">
        <w:rPr>
          <w:noProof/>
        </w:rPr>
        <w:t>109</w:t>
      </w:r>
      <w:r w:rsidR="00575CA7">
        <w:fldChar w:fldCharType="end"/>
      </w:r>
      <w:r w:rsidR="00A664B4">
        <w:t xml:space="preserve">, </w:t>
      </w:r>
      <w:r w:rsidR="00575CA7">
        <w:fldChar w:fldCharType="begin"/>
      </w:r>
      <w:r w:rsidR="00A664B4">
        <w:instrText xml:space="preserve"> REF _Ref326162854 \h </w:instrText>
      </w:r>
      <w:r w:rsidR="00575CA7">
        <w:fldChar w:fldCharType="separate"/>
      </w:r>
      <w:r w:rsidR="003648B8">
        <w:t xml:space="preserve">Figure </w:t>
      </w:r>
      <w:r w:rsidR="003648B8">
        <w:rPr>
          <w:noProof/>
        </w:rPr>
        <w:t>110</w:t>
      </w:r>
      <w:r w:rsidR="00575CA7">
        <w:fldChar w:fldCharType="end"/>
      </w:r>
      <w:r w:rsidR="0039374A">
        <w:t>)</w:t>
      </w:r>
      <w:r>
        <w:t>, and</w:t>
      </w:r>
      <w:r w:rsidRPr="00E66B99">
        <w:t xml:space="preserve"> the integrity of ecological systems (</w:t>
      </w:r>
      <w:r w:rsidRPr="00D64A9A">
        <w:t>Holling 1973; Forman and Alexander 1998; Trombulak and Frissell 2000).</w:t>
      </w:r>
      <w:r>
        <w:t xml:space="preserve">  For these reasons, </w:t>
      </w:r>
      <w:r w:rsidR="00C544DE">
        <w:t>land-use</w:t>
      </w:r>
      <w:r>
        <w:t xml:space="preserve"> indicators such as surface disturbance and fragmentation are considered to be relevant and practical indicators of cumulative effects.</w:t>
      </w:r>
    </w:p>
    <w:p w:rsidR="002877C3" w:rsidRDefault="002877C3" w:rsidP="002877C3">
      <w:pPr>
        <w:pStyle w:val="BodyText"/>
      </w:pPr>
      <w:r>
        <w:t xml:space="preserve">The wildlife and fish indicators are calculated based on models that apply coefficients to levels of habitat disturbance, fragmentation, and/or forest age.  Water and air indicator values are derived from </w:t>
      </w:r>
      <w:r w:rsidR="002241B4">
        <w:t>the relationship</w:t>
      </w:r>
      <w:r>
        <w:t xml:space="preserve"> between </w:t>
      </w:r>
      <w:r w:rsidR="002241B4">
        <w:t xml:space="preserve">the </w:t>
      </w:r>
      <w:r>
        <w:t xml:space="preserve">levels of </w:t>
      </w:r>
      <w:r w:rsidR="00C544DE">
        <w:t>land-use</w:t>
      </w:r>
      <w:r>
        <w:t xml:space="preserve"> and</w:t>
      </w:r>
      <w:r w:rsidR="002241B4">
        <w:t xml:space="preserve"> the</w:t>
      </w:r>
      <w:r>
        <w:t xml:space="preserve"> average output rates of specific substances or by</w:t>
      </w:r>
      <w:r w:rsidR="003D4DCB">
        <w:t>-</w:t>
      </w:r>
      <w:r>
        <w:t xml:space="preserve">products (e.g., amount of </w:t>
      </w:r>
      <w:r w:rsidR="00A664B4">
        <w:t>elemental sulphur</w:t>
      </w:r>
      <w:r>
        <w:t xml:space="preserve"> per m</w:t>
      </w:r>
      <w:r w:rsidRPr="00E14650">
        <w:rPr>
          <w:vertAlign w:val="superscript"/>
        </w:rPr>
        <w:t>3</w:t>
      </w:r>
      <w:r>
        <w:t xml:space="preserve"> bitumen production; amount of nitrogen loading per lakeside cottage development).  All ecological indicator relationships and coefficients used in this project were generated by CEMA-SEWG (CEMA 2008).</w:t>
      </w:r>
    </w:p>
    <w:p w:rsidR="00BB43F7" w:rsidRDefault="00BB43F7" w:rsidP="002877C3">
      <w:pPr>
        <w:pStyle w:val="BodyText"/>
      </w:pPr>
    </w:p>
    <w:p w:rsidR="00BB43F7" w:rsidRDefault="00BB43F7" w:rsidP="002877C3">
      <w:pPr>
        <w:pStyle w:val="BodyText"/>
      </w:pPr>
    </w:p>
    <w:p w:rsidR="002877C3" w:rsidRPr="00E5560F" w:rsidRDefault="002877C3" w:rsidP="000A2C5A">
      <w:pPr>
        <w:pStyle w:val="Heading3"/>
      </w:pPr>
      <w:bookmarkStart w:id="304" w:name="_Toc338703712"/>
      <w:r w:rsidRPr="00E5560F">
        <w:t>Ecological Indicator Risk Categories</w:t>
      </w:r>
      <w:bookmarkEnd w:id="304"/>
    </w:p>
    <w:p w:rsidR="002877C3" w:rsidRDefault="002877C3" w:rsidP="002877C3">
      <w:pPr>
        <w:pStyle w:val="Heading5"/>
      </w:pPr>
      <w:r>
        <w:t>Habitat Suitability Index</w:t>
      </w:r>
    </w:p>
    <w:p w:rsidR="002877C3" w:rsidRDefault="002241B4" w:rsidP="002877C3">
      <w:pPr>
        <w:pStyle w:val="BodyText"/>
      </w:pPr>
      <w:r>
        <w:t>The i</w:t>
      </w:r>
      <w:r w:rsidR="002877C3" w:rsidRPr="00E5560F">
        <w:t>nterpretation of potential</w:t>
      </w:r>
      <w:r w:rsidR="002877C3" w:rsidRPr="00EE7CEA">
        <w:t xml:space="preserve"> changes in environmental indicators can be aided by a standardiz</w:t>
      </w:r>
      <w:r w:rsidR="002877C3">
        <w:t>ed method for describing change</w:t>
      </w:r>
      <w:r w:rsidR="002877C3" w:rsidRPr="00EE7CEA">
        <w:t xml:space="preserve"> that is </w:t>
      </w:r>
      <w:r>
        <w:t xml:space="preserve">both </w:t>
      </w:r>
      <w:r w:rsidR="002877C3" w:rsidRPr="00EE7CEA">
        <w:t>relevant and readily understood by sta</w:t>
      </w:r>
      <w:r w:rsidR="002877C3">
        <w:t>keholders and decision makers.  For the te</w:t>
      </w:r>
      <w:r>
        <w:t>rrestrial ecological indicators such as</w:t>
      </w:r>
      <w:r w:rsidR="002877C3">
        <w:t xml:space="preserve"> moose, black bear and fisher, HSI results are displayed using pre-determined risk categories </w:t>
      </w:r>
      <w:r w:rsidR="002877C3" w:rsidRPr="00B46A15">
        <w:t xml:space="preserve">based on </w:t>
      </w:r>
      <w:r>
        <w:t xml:space="preserve">peer-reviewed </w:t>
      </w:r>
      <w:r w:rsidR="002877C3" w:rsidRPr="00B46A15">
        <w:t xml:space="preserve">criteria developed by the World Conservation Union and adopted by the international community, </w:t>
      </w:r>
      <w:r w:rsidR="002877C3">
        <w:t xml:space="preserve">including </w:t>
      </w:r>
      <w:r w:rsidR="002877C3" w:rsidRPr="00157B8E">
        <w:t>Canada (</w:t>
      </w:r>
      <w:r w:rsidR="002877C3" w:rsidRPr="006C52F5">
        <w:t>Committee on the Status of Endangered Wildlife in Canada – COSEWIC</w:t>
      </w:r>
      <w:r w:rsidR="002877C3" w:rsidRPr="00157B8E">
        <w:t>), for evaluation</w:t>
      </w:r>
      <w:r w:rsidR="002877C3" w:rsidRPr="00B46A15">
        <w:t xml:space="preserve"> of species at risk.</w:t>
      </w:r>
    </w:p>
    <w:p w:rsidR="00BB43F7" w:rsidRDefault="002877C3" w:rsidP="002877C3">
      <w:pPr>
        <w:pStyle w:val="BodyText"/>
      </w:pPr>
      <w:r>
        <w:t xml:space="preserve">Indicator risk categories </w:t>
      </w:r>
      <w:r w:rsidR="002241B4">
        <w:t>are</w:t>
      </w:r>
      <w:r w:rsidRPr="00B46A15">
        <w:t xml:space="preserve"> based on the relative departure from the </w:t>
      </w:r>
      <w:r>
        <w:t>r</w:t>
      </w:r>
      <w:r w:rsidRPr="00B46A15">
        <w:t xml:space="preserve">ange of </w:t>
      </w:r>
      <w:r>
        <w:t>n</w:t>
      </w:r>
      <w:r w:rsidRPr="00B46A15">
        <w:t xml:space="preserve">atural </w:t>
      </w:r>
      <w:r>
        <w:t>variability</w:t>
      </w:r>
      <w:r w:rsidRPr="00B46A15">
        <w:t xml:space="preserve"> </w:t>
      </w:r>
      <w:r w:rsidR="00DD33C3">
        <w:t xml:space="preserve">(RNV; </w:t>
      </w:r>
      <w:r w:rsidR="00575CA7">
        <w:fldChar w:fldCharType="begin"/>
      </w:r>
      <w:r w:rsidR="00DD33C3">
        <w:instrText xml:space="preserve"> REF _Ref326256058 \h </w:instrText>
      </w:r>
      <w:r w:rsidR="00575CA7">
        <w:fldChar w:fldCharType="separate"/>
      </w:r>
      <w:r w:rsidR="003648B8">
        <w:t xml:space="preserve">Figure </w:t>
      </w:r>
      <w:r w:rsidR="003648B8">
        <w:rPr>
          <w:noProof/>
        </w:rPr>
        <w:t>113</w:t>
      </w:r>
      <w:r w:rsidR="00575CA7">
        <w:fldChar w:fldCharType="end"/>
      </w:r>
      <w:r w:rsidR="00DD33C3">
        <w:t>)</w:t>
      </w:r>
      <w:r>
        <w:t>.  C</w:t>
      </w:r>
      <w:r w:rsidRPr="00B46A15">
        <w:t>olo</w:t>
      </w:r>
      <w:r>
        <w:t>u</w:t>
      </w:r>
      <w:r w:rsidRPr="00B46A15">
        <w:t xml:space="preserve">r-coded </w:t>
      </w:r>
      <w:r>
        <w:t>risk categories</w:t>
      </w:r>
      <w:r w:rsidRPr="00B46A15">
        <w:t xml:space="preserve"> </w:t>
      </w:r>
      <w:r w:rsidR="002241B4">
        <w:t>are</w:t>
      </w:r>
      <w:r w:rsidRPr="00B46A15">
        <w:t xml:space="preserve"> ranked and illustrated along a scale declining from the </w:t>
      </w:r>
      <w:r>
        <w:t xml:space="preserve">best condition (the </w:t>
      </w:r>
      <w:r w:rsidRPr="00B46A15">
        <w:t>lower boundary of the RNV</w:t>
      </w:r>
      <w:r>
        <w:t>), scaled as 0 percent</w:t>
      </w:r>
      <w:r w:rsidRPr="00B46A15">
        <w:t xml:space="preserve"> decline, to the most disturbed co</w:t>
      </w:r>
      <w:r>
        <w:t>ndition expected, scaled as 100 percent</w:t>
      </w:r>
      <w:r w:rsidRPr="00B46A15">
        <w:t xml:space="preserve"> decline. </w:t>
      </w:r>
      <w:r>
        <w:t xml:space="preserve"> </w:t>
      </w:r>
      <w:r w:rsidRPr="00EE7CEA">
        <w:t xml:space="preserve">When applying </w:t>
      </w:r>
      <w:r>
        <w:t>risk categories</w:t>
      </w:r>
      <w:r w:rsidRPr="00EE7CEA">
        <w:t xml:space="preserve"> to simulation results, the lower edge of the estimated</w:t>
      </w:r>
      <w:r>
        <w:t xml:space="preserve"> natural</w:t>
      </w:r>
      <w:r w:rsidRPr="00EE7CEA">
        <w:t xml:space="preserve"> range of variability was used as the undisturbed </w:t>
      </w:r>
      <w:r>
        <w:t xml:space="preserve">point of comparison.  </w:t>
      </w:r>
    </w:p>
    <w:p w:rsidR="00BB43F7" w:rsidRDefault="00BB43F7">
      <w:pPr>
        <w:spacing w:after="200" w:line="276" w:lineRule="auto"/>
      </w:pPr>
      <w:r>
        <w:lastRenderedPageBreak/>
        <w:br w:type="page"/>
      </w:r>
    </w:p>
    <w:p w:rsidR="002877C3" w:rsidRDefault="002877C3" w:rsidP="002877C3">
      <w:pPr>
        <w:pStyle w:val="BodyText"/>
      </w:pPr>
      <w:r>
        <w:lastRenderedPageBreak/>
        <w:t>They</w:t>
      </w:r>
      <w:r w:rsidRPr="00B46A15">
        <w:t xml:space="preserve"> were </w:t>
      </w:r>
      <w:r>
        <w:t>applied in the following manner, using four colour codes:</w:t>
      </w:r>
    </w:p>
    <w:tbl>
      <w:tblPr>
        <w:tblStyle w:val="TableGrid"/>
        <w:tblW w:w="8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42"/>
        <w:gridCol w:w="7655"/>
      </w:tblGrid>
      <w:tr w:rsidR="002877C3" w:rsidTr="002877C3">
        <w:tc>
          <w:tcPr>
            <w:tcW w:w="1242" w:type="dxa"/>
          </w:tcPr>
          <w:p w:rsidR="002877C3" w:rsidRDefault="00575CA7" w:rsidP="002877C3">
            <w:pPr>
              <w:pStyle w:val="BodyText"/>
              <w:spacing w:after="0"/>
            </w:pPr>
            <w:r w:rsidRPr="00575CA7">
              <w:rPr>
                <w:noProof/>
              </w:rPr>
              <w:pict>
                <v:rect id="_x0000_s1028" style="position:absolute;margin-left:0;margin-top:3.5pt;width:33pt;height:21pt;z-index:251665408;mso-position-horizontal:center;mso-position-horizontal-relative:margin" fillcolor="#00b050">
                  <w10:wrap anchorx="margin"/>
                </v:rect>
              </w:pict>
            </w:r>
          </w:p>
        </w:tc>
        <w:tc>
          <w:tcPr>
            <w:tcW w:w="7655" w:type="dxa"/>
          </w:tcPr>
          <w:p w:rsidR="002877C3" w:rsidRPr="00C33515" w:rsidRDefault="002877C3" w:rsidP="002877C3">
            <w:pPr>
              <w:pStyle w:val="BodyText"/>
              <w:rPr>
                <w:sz w:val="22"/>
                <w:szCs w:val="22"/>
              </w:rPr>
            </w:pPr>
            <w:r w:rsidRPr="00C33515">
              <w:rPr>
                <w:sz w:val="22"/>
                <w:szCs w:val="22"/>
                <w:u w:val="single"/>
              </w:rPr>
              <w:t>Green</w:t>
            </w:r>
            <w:r w:rsidRPr="00C33515">
              <w:rPr>
                <w:sz w:val="22"/>
                <w:szCs w:val="22"/>
              </w:rPr>
              <w:t xml:space="preserve">: representing </w:t>
            </w:r>
            <w:r w:rsidRPr="00C33515">
              <w:rPr>
                <w:b/>
                <w:sz w:val="22"/>
                <w:szCs w:val="22"/>
              </w:rPr>
              <w:t>stable</w:t>
            </w:r>
            <w:r w:rsidRPr="00C33515">
              <w:rPr>
                <w:sz w:val="22"/>
                <w:szCs w:val="22"/>
              </w:rPr>
              <w:t xml:space="preserve"> and equivalent to the COSEWIC / IUCN classification of “Stable”.  Defined as a decline of no more than 10% from the undisturbed (RNV) state.</w:t>
            </w:r>
          </w:p>
        </w:tc>
      </w:tr>
      <w:tr w:rsidR="002877C3" w:rsidTr="002877C3">
        <w:tc>
          <w:tcPr>
            <w:tcW w:w="1242" w:type="dxa"/>
          </w:tcPr>
          <w:p w:rsidR="002877C3" w:rsidRDefault="00575CA7" w:rsidP="002877C3">
            <w:pPr>
              <w:pStyle w:val="BodyText"/>
              <w:spacing w:after="0"/>
            </w:pPr>
            <w:r w:rsidRPr="00575CA7">
              <w:rPr>
                <w:noProof/>
              </w:rPr>
              <w:pict>
                <v:rect id="_x0000_s1029" style="position:absolute;margin-left:0;margin-top:3.6pt;width:33pt;height:21pt;z-index:251666432;mso-position-horizontal:center;mso-position-horizontal-relative:margin;mso-position-vertical-relative:text" fillcolor="yellow">
                  <w10:wrap anchorx="margin"/>
                </v:rect>
              </w:pict>
            </w:r>
          </w:p>
        </w:tc>
        <w:tc>
          <w:tcPr>
            <w:tcW w:w="7655" w:type="dxa"/>
          </w:tcPr>
          <w:p w:rsidR="002877C3" w:rsidRPr="00C33515" w:rsidRDefault="002877C3" w:rsidP="002877C3">
            <w:pPr>
              <w:pStyle w:val="BodyText"/>
              <w:rPr>
                <w:sz w:val="22"/>
                <w:szCs w:val="22"/>
              </w:rPr>
            </w:pPr>
            <w:r w:rsidRPr="00C33515">
              <w:rPr>
                <w:sz w:val="22"/>
                <w:szCs w:val="22"/>
                <w:u w:val="single"/>
              </w:rPr>
              <w:t>Yellow:</w:t>
            </w:r>
            <w:r w:rsidRPr="00C33515">
              <w:rPr>
                <w:sz w:val="22"/>
                <w:szCs w:val="22"/>
              </w:rPr>
              <w:t xml:space="preserve"> representing </w:t>
            </w:r>
            <w:r w:rsidRPr="00C33515">
              <w:rPr>
                <w:b/>
                <w:sz w:val="22"/>
                <w:szCs w:val="22"/>
              </w:rPr>
              <w:t>low risk</w:t>
            </w:r>
            <w:r w:rsidRPr="00C33515">
              <w:rPr>
                <w:sz w:val="22"/>
                <w:szCs w:val="22"/>
              </w:rPr>
              <w:t xml:space="preserve"> and equivalent to COSEWIC / IUCN classification of “Special Concern”.  Defined as a decline of 10% to 50% from the undisturbed (RNV) state.</w:t>
            </w:r>
          </w:p>
        </w:tc>
      </w:tr>
      <w:tr w:rsidR="002877C3" w:rsidTr="002877C3">
        <w:tc>
          <w:tcPr>
            <w:tcW w:w="1242" w:type="dxa"/>
          </w:tcPr>
          <w:p w:rsidR="002877C3" w:rsidRDefault="00575CA7" w:rsidP="002877C3">
            <w:pPr>
              <w:pStyle w:val="BodyText"/>
              <w:spacing w:after="0"/>
            </w:pPr>
            <w:r w:rsidRPr="00575CA7">
              <w:rPr>
                <w:noProof/>
              </w:rPr>
              <w:pict>
                <v:rect id="_x0000_s1030" style="position:absolute;margin-left:0;margin-top:3.7pt;width:33pt;height:21pt;z-index:251667456;mso-position-horizontal:center;mso-position-horizontal-relative:margin;mso-position-vertical-relative:text" fillcolor="#ffc000">
                  <w10:wrap anchorx="margin"/>
                </v:rect>
              </w:pict>
            </w:r>
          </w:p>
        </w:tc>
        <w:tc>
          <w:tcPr>
            <w:tcW w:w="7655" w:type="dxa"/>
          </w:tcPr>
          <w:p w:rsidR="002877C3" w:rsidRPr="00C33515" w:rsidRDefault="002877C3" w:rsidP="002877C3">
            <w:pPr>
              <w:pStyle w:val="BodyText"/>
              <w:rPr>
                <w:sz w:val="22"/>
                <w:szCs w:val="22"/>
              </w:rPr>
            </w:pPr>
            <w:r w:rsidRPr="00C33515">
              <w:rPr>
                <w:sz w:val="22"/>
                <w:szCs w:val="22"/>
                <w:u w:val="single"/>
              </w:rPr>
              <w:t>Orange:</w:t>
            </w:r>
            <w:r w:rsidRPr="00C33515">
              <w:rPr>
                <w:sz w:val="22"/>
                <w:szCs w:val="22"/>
              </w:rPr>
              <w:t xml:space="preserve"> representing </w:t>
            </w:r>
            <w:r w:rsidRPr="00C33515">
              <w:rPr>
                <w:b/>
                <w:sz w:val="22"/>
                <w:szCs w:val="22"/>
              </w:rPr>
              <w:t>moderate risk</w:t>
            </w:r>
            <w:r w:rsidRPr="00C33515">
              <w:rPr>
                <w:sz w:val="22"/>
                <w:szCs w:val="22"/>
              </w:rPr>
              <w:t xml:space="preserve"> and equivalent to the COSEWIC / IUCN classification of “Threatened” or “Vulnerable”. Defined as a decline of 50% to 70% from the undisturbed (RNV) state. </w:t>
            </w:r>
          </w:p>
        </w:tc>
      </w:tr>
      <w:tr w:rsidR="002877C3" w:rsidTr="002877C3">
        <w:tc>
          <w:tcPr>
            <w:tcW w:w="1242" w:type="dxa"/>
          </w:tcPr>
          <w:p w:rsidR="002877C3" w:rsidRDefault="00575CA7" w:rsidP="002877C3">
            <w:pPr>
              <w:pStyle w:val="BodyText"/>
              <w:spacing w:after="0"/>
            </w:pPr>
            <w:r w:rsidRPr="00575CA7">
              <w:rPr>
                <w:noProof/>
              </w:rPr>
              <w:pict>
                <v:rect id="_x0000_s1031" style="position:absolute;margin-left:0;margin-top:4.55pt;width:33pt;height:20.8pt;z-index:251668480;mso-position-horizontal:center;mso-position-horizontal-relative:margin;mso-position-vertical-relative:text" fillcolor="red">
                  <w10:wrap anchorx="margin"/>
                </v:rect>
              </w:pict>
            </w:r>
          </w:p>
        </w:tc>
        <w:tc>
          <w:tcPr>
            <w:tcW w:w="7655" w:type="dxa"/>
          </w:tcPr>
          <w:p w:rsidR="002877C3" w:rsidRPr="00C33515" w:rsidRDefault="002877C3" w:rsidP="002877C3">
            <w:pPr>
              <w:pStyle w:val="BodyText"/>
              <w:rPr>
                <w:sz w:val="22"/>
                <w:szCs w:val="22"/>
              </w:rPr>
            </w:pPr>
            <w:r w:rsidRPr="00C33515">
              <w:rPr>
                <w:sz w:val="22"/>
                <w:szCs w:val="22"/>
                <w:u w:val="single"/>
              </w:rPr>
              <w:t>Red:</w:t>
            </w:r>
            <w:r w:rsidRPr="00C33515">
              <w:rPr>
                <w:sz w:val="22"/>
                <w:szCs w:val="22"/>
              </w:rPr>
              <w:t xml:space="preserve"> representing </w:t>
            </w:r>
            <w:r w:rsidRPr="00C33515">
              <w:rPr>
                <w:b/>
                <w:sz w:val="22"/>
                <w:szCs w:val="22"/>
              </w:rPr>
              <w:t>high risk</w:t>
            </w:r>
            <w:r w:rsidRPr="00C33515">
              <w:rPr>
                <w:sz w:val="22"/>
                <w:szCs w:val="22"/>
              </w:rPr>
              <w:t xml:space="preserve"> and equivalent to the COSEWIC / IUCN classification of “Endangered”.  Defined as a decline of more than 70% from the undisturbed (RNV) state. </w:t>
            </w:r>
          </w:p>
        </w:tc>
      </w:tr>
    </w:tbl>
    <w:p w:rsidR="002877C3" w:rsidRDefault="00F21BC0" w:rsidP="002877C3">
      <w:pPr>
        <w:pStyle w:val="BodyText"/>
      </w:pPr>
      <w:r>
        <w:t xml:space="preserve"> </w:t>
      </w:r>
    </w:p>
    <w:p w:rsidR="002877C3" w:rsidRDefault="002877C3" w:rsidP="002877C3">
      <w:pPr>
        <w:pStyle w:val="BodyText"/>
      </w:pPr>
    </w:p>
    <w:p w:rsidR="002877C3" w:rsidRDefault="002877C3" w:rsidP="002877C3">
      <w:pPr>
        <w:pStyle w:val="BodyText"/>
        <w:keepNext/>
        <w:spacing w:after="0"/>
      </w:pPr>
      <w:r>
        <w:rPr>
          <w:noProof/>
          <w:lang w:val="en-US"/>
        </w:rPr>
        <w:drawing>
          <wp:inline distT="0" distB="0" distL="0" distR="0">
            <wp:extent cx="5486400" cy="4125925"/>
            <wp:effectExtent l="19050" t="19050" r="19050" b="2697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31" cstate="print"/>
                    <a:srcRect/>
                    <a:stretch>
                      <a:fillRect/>
                    </a:stretch>
                  </pic:blipFill>
                  <pic:spPr bwMode="auto">
                    <a:xfrm>
                      <a:off x="0" y="0"/>
                      <a:ext cx="5486400" cy="4125925"/>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2877C3" w:rsidRDefault="002877C3" w:rsidP="002877C3">
      <w:pPr>
        <w:pStyle w:val="Caption"/>
      </w:pPr>
      <w:bookmarkStart w:id="305" w:name="_Ref326256058"/>
      <w:bookmarkStart w:id="306" w:name="_Toc338703892"/>
      <w:proofErr w:type="gramStart"/>
      <w:r>
        <w:t xml:space="preserve">Figure </w:t>
      </w:r>
      <w:fldSimple w:instr=" SEQ Figure \* ARABIC ">
        <w:r w:rsidR="00A02D22">
          <w:rPr>
            <w:noProof/>
          </w:rPr>
          <w:t>113</w:t>
        </w:r>
      </w:fldSimple>
      <w:bookmarkEnd w:id="305"/>
      <w:r>
        <w:t>.</w:t>
      </w:r>
      <w:proofErr w:type="gramEnd"/>
      <w:r>
        <w:t xml:space="preserve"> ALCES output graph indicating different risk categories to ecological indicators</w:t>
      </w:r>
      <w:r w:rsidR="008B40D4">
        <w:t>.</w:t>
      </w:r>
      <w:bookmarkEnd w:id="306"/>
    </w:p>
    <w:p w:rsidR="002877C3" w:rsidRPr="009E4F21" w:rsidRDefault="002877C3" w:rsidP="009E4F21">
      <w:pPr>
        <w:pStyle w:val="BodyText"/>
        <w:rPr>
          <w:lang w:val="en-US"/>
        </w:rPr>
      </w:pPr>
    </w:p>
    <w:p w:rsidR="00A76656" w:rsidRDefault="00A76656" w:rsidP="00A76656">
      <w:pPr>
        <w:pStyle w:val="Heading2"/>
      </w:pPr>
      <w:bookmarkStart w:id="307" w:name="_Toc338703713"/>
      <w:r>
        <w:lastRenderedPageBreak/>
        <w:t>Social and Cultural</w:t>
      </w:r>
      <w:bookmarkEnd w:id="307"/>
    </w:p>
    <w:p w:rsidR="008B40D4" w:rsidRPr="008B40D4" w:rsidRDefault="008B40D4" w:rsidP="008B40D4">
      <w:pPr>
        <w:pStyle w:val="BodyText"/>
        <w:rPr>
          <w:lang w:val="en-US"/>
        </w:rPr>
      </w:pPr>
      <w:r>
        <w:rPr>
          <w:lang w:val="en-US"/>
        </w:rPr>
        <w:t>Indicators in the theme of social and cultural include the fraction of the CLFN SA that is accessible to CLFN for use in traditional activities.</w:t>
      </w:r>
    </w:p>
    <w:p w:rsidR="00A76656" w:rsidRDefault="00A76656" w:rsidP="00A76656">
      <w:pPr>
        <w:pStyle w:val="Heading2"/>
      </w:pPr>
      <w:bookmarkStart w:id="308" w:name="_Toc338703714"/>
      <w:r>
        <w:t>Commodity and Economic</w:t>
      </w:r>
      <w:bookmarkEnd w:id="308"/>
    </w:p>
    <w:p w:rsidR="00FF3378" w:rsidRPr="00FF3378" w:rsidRDefault="00FF3378" w:rsidP="00FF3378">
      <w:pPr>
        <w:pStyle w:val="BodyText"/>
        <w:rPr>
          <w:lang w:val="en-US"/>
        </w:rPr>
      </w:pPr>
      <w:r>
        <w:rPr>
          <w:lang w:val="en-US"/>
        </w:rPr>
        <w:t xml:space="preserve">The economic contributions of the </w:t>
      </w:r>
      <w:r w:rsidR="00F764E9">
        <w:rPr>
          <w:lang w:val="en-US"/>
        </w:rPr>
        <w:t>Cold Lake</w:t>
      </w:r>
      <w:r>
        <w:rPr>
          <w:lang w:val="en-US"/>
        </w:rPr>
        <w:t xml:space="preserve"> region to the local, regional and provincial economy is significant and has be</w:t>
      </w:r>
      <w:r w:rsidR="00040AAF">
        <w:rPr>
          <w:lang w:val="en-US"/>
        </w:rPr>
        <w:t>en an important contributor to</w:t>
      </w:r>
      <w:r>
        <w:rPr>
          <w:lang w:val="en-US"/>
        </w:rPr>
        <w:t xml:space="preserve"> Alberta’s strong historical economic growth.  Economic performance in this region has been driven by commodity production (hydrocarbons, crops, </w:t>
      </w:r>
      <w:proofErr w:type="gramStart"/>
      <w:r>
        <w:rPr>
          <w:lang w:val="en-US"/>
        </w:rPr>
        <w:t>livestock</w:t>
      </w:r>
      <w:proofErr w:type="gramEnd"/>
      <w:r>
        <w:rPr>
          <w:lang w:val="en-US"/>
        </w:rPr>
        <w:t>) of which production of heavy oil and bitumen has been the overwhelmingly most important commodity.</w:t>
      </w:r>
    </w:p>
    <w:p w:rsidR="00D417D5" w:rsidRDefault="00D417D5" w:rsidP="00D417D5">
      <w:pPr>
        <w:pStyle w:val="Heading3"/>
      </w:pPr>
      <w:bookmarkStart w:id="309" w:name="_Toc338703715"/>
      <w:r>
        <w:t>Methodologies</w:t>
      </w:r>
      <w:bookmarkEnd w:id="309"/>
    </w:p>
    <w:p w:rsidR="00D417D5" w:rsidRPr="00D417D5" w:rsidRDefault="00D417D5" w:rsidP="00D417D5">
      <w:pPr>
        <w:pStyle w:val="BodyText"/>
        <w:rPr>
          <w:lang w:val="en-US"/>
        </w:rPr>
      </w:pPr>
      <w:r>
        <w:rPr>
          <w:lang w:val="en-US"/>
        </w:rPr>
        <w:t xml:space="preserve">The methodology deployed by the CLFN ALCES for the development of the heavy oil and bitumen reserves is detailed in Section </w:t>
      </w:r>
      <w:r w:rsidR="00575CA7">
        <w:rPr>
          <w:lang w:val="en-US"/>
        </w:rPr>
        <w:fldChar w:fldCharType="begin"/>
      </w:r>
      <w:r>
        <w:rPr>
          <w:lang w:val="en-US"/>
        </w:rPr>
        <w:instrText xml:space="preserve"> REF _Ref325920840 \r \h </w:instrText>
      </w:r>
      <w:r w:rsidR="00575CA7">
        <w:rPr>
          <w:lang w:val="en-US"/>
        </w:rPr>
      </w:r>
      <w:r w:rsidR="00575CA7">
        <w:rPr>
          <w:lang w:val="en-US"/>
        </w:rPr>
        <w:fldChar w:fldCharType="separate"/>
      </w:r>
      <w:r w:rsidR="003648B8">
        <w:rPr>
          <w:lang w:val="en-US"/>
        </w:rPr>
        <w:t>8.2.5</w:t>
      </w:r>
      <w:r w:rsidR="00575CA7">
        <w:rPr>
          <w:lang w:val="en-US"/>
        </w:rPr>
        <w:fldChar w:fldCharType="end"/>
      </w:r>
      <w:r>
        <w:rPr>
          <w:lang w:val="en-US"/>
        </w:rPr>
        <w:t>. Revenues and employment directly related to bitumen production were based on applying coefficients to annual production values based on revenue and employment statistics for 2012.</w:t>
      </w:r>
    </w:p>
    <w:p w:rsidR="00915A64" w:rsidRDefault="00915A64" w:rsidP="00020D2A">
      <w:pPr>
        <w:pStyle w:val="BodyText"/>
        <w:rPr>
          <w:lang w:val="en-US"/>
        </w:rPr>
      </w:pPr>
    </w:p>
    <w:p w:rsidR="00915A64" w:rsidRDefault="00915A64" w:rsidP="00915A64">
      <w:pPr>
        <w:rPr>
          <w:lang w:eastAsia="en-CA"/>
        </w:rPr>
      </w:pPr>
    </w:p>
    <w:p w:rsidR="00915A64" w:rsidRPr="00915A64" w:rsidRDefault="00915A64" w:rsidP="00915A64">
      <w:pPr>
        <w:rPr>
          <w:lang w:eastAsia="en-CA"/>
        </w:rPr>
      </w:pPr>
    </w:p>
    <w:p w:rsidR="00915A64" w:rsidRDefault="00915A64" w:rsidP="00020D2A">
      <w:pPr>
        <w:pStyle w:val="BodyText"/>
        <w:rPr>
          <w:lang w:val="en-US"/>
        </w:rPr>
      </w:pPr>
    </w:p>
    <w:p w:rsidR="00915A64" w:rsidRDefault="00915A64">
      <w:pPr>
        <w:spacing w:after="200" w:line="276" w:lineRule="auto"/>
      </w:pPr>
      <w:r>
        <w:br w:type="page"/>
      </w:r>
    </w:p>
    <w:p w:rsidR="00D1420C" w:rsidRDefault="00D1420C" w:rsidP="00D1420C">
      <w:pPr>
        <w:pStyle w:val="Heading1"/>
      </w:pPr>
      <w:bookmarkStart w:id="310" w:name="_Toc338703716"/>
      <w:r>
        <w:lastRenderedPageBreak/>
        <w:t xml:space="preserve">Simulation </w:t>
      </w:r>
      <w:r w:rsidR="007412D5">
        <w:t>Metrics</w:t>
      </w:r>
      <w:bookmarkEnd w:id="310"/>
    </w:p>
    <w:p w:rsidR="00D1420C" w:rsidRDefault="00D1420C" w:rsidP="00D1420C">
      <w:pPr>
        <w:pStyle w:val="Heading2"/>
      </w:pPr>
      <w:bookmarkStart w:id="311" w:name="_Toc338703717"/>
      <w:r>
        <w:t>Simulation Length</w:t>
      </w:r>
      <w:bookmarkEnd w:id="311"/>
    </w:p>
    <w:p w:rsidR="00D1420C" w:rsidRDefault="00D1420C" w:rsidP="00D1420C">
      <w:pPr>
        <w:pStyle w:val="BodyText"/>
        <w:rPr>
          <w:lang w:val="en-US"/>
        </w:rPr>
      </w:pPr>
      <w:r>
        <w:rPr>
          <w:lang w:val="en-US"/>
        </w:rPr>
        <w:t xml:space="preserve">All simulation were 500 years in length of which the first 200 years (Yrs 0-200) captured key dynamics of RNV (range of natural variability), the next 100 years (Yrs 201-300) reflects the backcast period (general period from onset of industrial </w:t>
      </w:r>
      <w:r w:rsidR="00C544DE">
        <w:rPr>
          <w:lang w:val="en-US"/>
        </w:rPr>
        <w:t>land-use</w:t>
      </w:r>
      <w:r>
        <w:rPr>
          <w:lang w:val="en-US"/>
        </w:rPr>
        <w:t>s to current conditions), and the last 200 years (Yrs 301-500) represented a forecast intended to explore a plausible future driven by explicitly stated input assumptions.</w:t>
      </w:r>
    </w:p>
    <w:p w:rsidR="00D1420C" w:rsidRDefault="00D1420C" w:rsidP="00D1420C">
      <w:pPr>
        <w:pStyle w:val="Heading2"/>
      </w:pPr>
      <w:bookmarkStart w:id="312" w:name="_Toc338703718"/>
      <w:r>
        <w:t>Range of Natural Variability and Reference Points</w:t>
      </w:r>
      <w:bookmarkEnd w:id="312"/>
    </w:p>
    <w:p w:rsidR="00D1420C" w:rsidRDefault="00D1420C" w:rsidP="00D1420C">
      <w:pPr>
        <w:pStyle w:val="BodyText"/>
        <w:rPr>
          <w:lang w:val="en-US"/>
        </w:rPr>
      </w:pPr>
      <w:r>
        <w:rPr>
          <w:lang w:val="en-US"/>
        </w:rPr>
        <w:t xml:space="preserve">Ecological indicators invariably exhibit spatial and temporal variation and this natural heterogeneity does not require the presence of humans or their </w:t>
      </w:r>
      <w:r w:rsidR="00C544DE">
        <w:rPr>
          <w:lang w:val="en-US"/>
        </w:rPr>
        <w:t>land-use</w:t>
      </w:r>
      <w:r>
        <w:rPr>
          <w:lang w:val="en-US"/>
        </w:rPr>
        <w:t xml:space="preserve">s. Since indicators such as moose, furbearers, fish and edible berries would have responded numerically to stochastic changes in landscape characteristics (examples would include water temperature, snow depth, forest age), it is important to capture and describe this variance called “range of natural variability”. RNV can be considered the normal variation (for example, 95% confidence interval) of a specific ecological attribute (species abundance, species distribution, or ecological process (for example decomposition)) that occurs in response to the full suite of natural and episodic perturbations that characterize an ecological system. An illustration of RNV is shown in </w:t>
      </w:r>
      <w:r w:rsidR="00575CA7">
        <w:rPr>
          <w:lang w:val="en-US"/>
        </w:rPr>
        <w:fldChar w:fldCharType="begin"/>
      </w:r>
      <w:r>
        <w:rPr>
          <w:lang w:val="en-US"/>
        </w:rPr>
        <w:instrText xml:space="preserve"> REF _Ref325723686 \h </w:instrText>
      </w:r>
      <w:r w:rsidR="00575CA7">
        <w:rPr>
          <w:lang w:val="en-US"/>
        </w:rPr>
      </w:r>
      <w:r w:rsidR="00575CA7">
        <w:rPr>
          <w:lang w:val="en-US"/>
        </w:rPr>
        <w:fldChar w:fldCharType="separate"/>
      </w:r>
      <w:r w:rsidR="003648B8">
        <w:t xml:space="preserve">Figure </w:t>
      </w:r>
      <w:r w:rsidR="003648B8">
        <w:rPr>
          <w:noProof/>
        </w:rPr>
        <w:t>114</w:t>
      </w:r>
      <w:r w:rsidR="00575CA7">
        <w:rPr>
          <w:lang w:val="en-US"/>
        </w:rPr>
        <w:fldChar w:fldCharType="end"/>
      </w:r>
      <w:r>
        <w:rPr>
          <w:lang w:val="en-US"/>
        </w:rPr>
        <w:t>. Indicators for which RNV is illustrated in the CLFN ALCES project include:</w:t>
      </w:r>
    </w:p>
    <w:p w:rsidR="00D1420C" w:rsidRDefault="00D1420C" w:rsidP="003F3386">
      <w:pPr>
        <w:pStyle w:val="BodyText"/>
        <w:numPr>
          <w:ilvl w:val="0"/>
          <w:numId w:val="21"/>
        </w:numPr>
        <w:spacing w:after="0"/>
        <w:ind w:left="714" w:hanging="357"/>
        <w:rPr>
          <w:lang w:val="en-US"/>
        </w:rPr>
      </w:pPr>
      <w:r>
        <w:rPr>
          <w:lang w:val="en-US"/>
        </w:rPr>
        <w:t>Moose Habitat Effectiveness</w:t>
      </w:r>
    </w:p>
    <w:p w:rsidR="00D1420C" w:rsidRDefault="00D1420C" w:rsidP="003F3386">
      <w:pPr>
        <w:pStyle w:val="BodyText"/>
        <w:numPr>
          <w:ilvl w:val="0"/>
          <w:numId w:val="21"/>
        </w:numPr>
        <w:spacing w:after="0"/>
        <w:ind w:left="714" w:hanging="357"/>
        <w:rPr>
          <w:lang w:val="en-US"/>
        </w:rPr>
      </w:pPr>
      <w:r>
        <w:rPr>
          <w:lang w:val="en-US"/>
        </w:rPr>
        <w:t>Fisher Habitat Effectiveness</w:t>
      </w:r>
    </w:p>
    <w:p w:rsidR="00D1420C" w:rsidRDefault="00D1420C" w:rsidP="003F3386">
      <w:pPr>
        <w:pStyle w:val="BodyText"/>
        <w:numPr>
          <w:ilvl w:val="0"/>
          <w:numId w:val="21"/>
        </w:numPr>
        <w:spacing w:after="0"/>
        <w:ind w:left="714" w:hanging="357"/>
        <w:rPr>
          <w:lang w:val="en-US"/>
        </w:rPr>
      </w:pPr>
      <w:r>
        <w:rPr>
          <w:lang w:val="en-US"/>
        </w:rPr>
        <w:t>Index of Native Fish Integrity</w:t>
      </w:r>
    </w:p>
    <w:p w:rsidR="00D1420C" w:rsidRDefault="00D1420C" w:rsidP="003F3386">
      <w:pPr>
        <w:pStyle w:val="BodyText"/>
        <w:numPr>
          <w:ilvl w:val="0"/>
          <w:numId w:val="21"/>
        </w:numPr>
        <w:spacing w:after="0"/>
        <w:ind w:left="714" w:hanging="357"/>
        <w:rPr>
          <w:lang w:val="en-US"/>
        </w:rPr>
      </w:pPr>
      <w:r>
        <w:rPr>
          <w:lang w:val="en-US"/>
        </w:rPr>
        <w:t>Forest Age</w:t>
      </w:r>
    </w:p>
    <w:p w:rsidR="00D1420C" w:rsidRDefault="00D1420C" w:rsidP="003F3386">
      <w:pPr>
        <w:pStyle w:val="BodyText"/>
        <w:numPr>
          <w:ilvl w:val="0"/>
          <w:numId w:val="21"/>
        </w:numPr>
        <w:spacing w:after="0"/>
        <w:ind w:left="714" w:hanging="357"/>
        <w:rPr>
          <w:lang w:val="en-US"/>
        </w:rPr>
      </w:pPr>
      <w:r>
        <w:rPr>
          <w:lang w:val="en-US"/>
        </w:rPr>
        <w:t>Water Quality</w:t>
      </w:r>
    </w:p>
    <w:p w:rsidR="00200DAF" w:rsidRDefault="00200DAF" w:rsidP="00200DAF">
      <w:pPr>
        <w:pStyle w:val="BodyText"/>
        <w:spacing w:after="0"/>
        <w:ind w:left="357"/>
        <w:rPr>
          <w:lang w:val="en-US"/>
        </w:rPr>
      </w:pPr>
    </w:p>
    <w:p w:rsidR="00D1420C" w:rsidRDefault="00D1420C" w:rsidP="00D1420C">
      <w:pPr>
        <w:pStyle w:val="BodyText"/>
        <w:rPr>
          <w:lang w:val="en-US"/>
        </w:rPr>
      </w:pPr>
      <w:r>
        <w:rPr>
          <w:lang w:val="en-US"/>
        </w:rPr>
        <w:t xml:space="preserve">Landscape ecologists generally accept that the further </w:t>
      </w:r>
      <w:r w:rsidR="00C544DE">
        <w:rPr>
          <w:lang w:val="en-US"/>
        </w:rPr>
        <w:t>land-use</w:t>
      </w:r>
      <w:r>
        <w:rPr>
          <w:lang w:val="en-US"/>
        </w:rPr>
        <w:t xml:space="preserve"> conditions move indicators away (either above or below) their RNV, the greater the level of risk to integrity of an ecological indicator. The concept of RNV and risk to ecological indicators has been broadly discussed by biologists within </w:t>
      </w:r>
      <w:r w:rsidR="00040AAF">
        <w:rPr>
          <w:lang w:val="en-US"/>
        </w:rPr>
        <w:t xml:space="preserve">the </w:t>
      </w:r>
      <w:r>
        <w:rPr>
          <w:lang w:val="en-US"/>
        </w:rPr>
        <w:t>Ministry of Sustainable Development of the Government of Alberta</w:t>
      </w:r>
      <w:r w:rsidR="00040AAF">
        <w:rPr>
          <w:lang w:val="en-US"/>
        </w:rPr>
        <w:t>,</w:t>
      </w:r>
      <w:r>
        <w:rPr>
          <w:lang w:val="en-US"/>
        </w:rPr>
        <w:t xml:space="preserve"> and has been endorsed as a key measure by which to assess risk of ecological indicators examined in the Alberta </w:t>
      </w:r>
      <w:r w:rsidR="00C544DE">
        <w:rPr>
          <w:lang w:val="en-US"/>
        </w:rPr>
        <w:t>Land-use</w:t>
      </w:r>
      <w:r>
        <w:rPr>
          <w:lang w:val="en-US"/>
        </w:rPr>
        <w:t xml:space="preserve"> Framework.</w:t>
      </w:r>
    </w:p>
    <w:p w:rsidR="00D1420C" w:rsidRDefault="00D1420C" w:rsidP="00D1420C">
      <w:pPr>
        <w:pStyle w:val="BodyText"/>
        <w:rPr>
          <w:lang w:val="en-US"/>
        </w:rPr>
      </w:pPr>
      <w:r>
        <w:rPr>
          <w:lang w:val="en-US"/>
        </w:rPr>
        <w:t>The goal of using RNV as part of these analyses is not to suggest that management objectives and goals should be to remain in or near RNV</w:t>
      </w:r>
      <w:r w:rsidR="00040AAF">
        <w:rPr>
          <w:lang w:val="en-US"/>
        </w:rPr>
        <w:t xml:space="preserve">, but </w:t>
      </w:r>
      <w:r>
        <w:rPr>
          <w:lang w:val="en-US"/>
        </w:rPr>
        <w:t xml:space="preserve">rather </w:t>
      </w:r>
      <w:r w:rsidR="00040AAF">
        <w:rPr>
          <w:lang w:val="en-US"/>
        </w:rPr>
        <w:t xml:space="preserve">to </w:t>
      </w:r>
      <w:r>
        <w:rPr>
          <w:lang w:val="en-US"/>
        </w:rPr>
        <w:t xml:space="preserve">graphically illustrate a relative reference point against which stakeholders can understand current and future risk associated with a stated set of </w:t>
      </w:r>
      <w:r w:rsidR="00C544DE">
        <w:rPr>
          <w:lang w:val="en-US"/>
        </w:rPr>
        <w:t>land-use</w:t>
      </w:r>
      <w:r>
        <w:rPr>
          <w:lang w:val="en-US"/>
        </w:rPr>
        <w:t xml:space="preserve"> assumptions.</w:t>
      </w:r>
    </w:p>
    <w:p w:rsidR="001712FB" w:rsidRDefault="001712FB" w:rsidP="001712FB">
      <w:pPr>
        <w:keepNext/>
      </w:pPr>
      <w:r>
        <w:rPr>
          <w:rFonts w:ascii="Arial" w:hAnsi="Arial"/>
          <w:b/>
          <w:caps/>
          <w:noProof/>
          <w:kern w:val="28"/>
          <w:sz w:val="28"/>
          <w:lang w:val="en-US"/>
        </w:rPr>
        <w:lastRenderedPageBreak/>
        <w:drawing>
          <wp:inline distT="0" distB="0" distL="0" distR="0">
            <wp:extent cx="4695994" cy="3600000"/>
            <wp:effectExtent l="19050" t="19050" r="28406" b="1950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srcRect/>
                    <a:stretch>
                      <a:fillRect/>
                    </a:stretch>
                  </pic:blipFill>
                  <pic:spPr bwMode="auto">
                    <a:xfrm>
                      <a:off x="0" y="0"/>
                      <a:ext cx="4695994"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1712FB" w:rsidRDefault="001712FB" w:rsidP="001712FB">
      <w:pPr>
        <w:pStyle w:val="Caption"/>
      </w:pPr>
      <w:bookmarkStart w:id="313" w:name="_Ref325723686"/>
      <w:bookmarkStart w:id="314" w:name="_Toc338703893"/>
      <w:proofErr w:type="gramStart"/>
      <w:r>
        <w:t xml:space="preserve">Figure </w:t>
      </w:r>
      <w:fldSimple w:instr=" SEQ Figure \* ARABIC ">
        <w:r w:rsidR="00A02D22">
          <w:rPr>
            <w:noProof/>
          </w:rPr>
          <w:t>114</w:t>
        </w:r>
      </w:fldSimple>
      <w:bookmarkEnd w:id="313"/>
      <w:r>
        <w:t>.</w:t>
      </w:r>
      <w:proofErr w:type="gramEnd"/>
      <w:r>
        <w:t xml:space="preserve"> </w:t>
      </w:r>
      <w:proofErr w:type="gramStart"/>
      <w:r>
        <w:t>Example of typical ALCES graphic output illustrating simulation length, range of natural variability (RNV), key events, and performance of an indicator relative to RNV.</w:t>
      </w:r>
      <w:bookmarkEnd w:id="314"/>
      <w:proofErr w:type="gramEnd"/>
    </w:p>
    <w:p w:rsidR="001712FB" w:rsidRPr="001712FB" w:rsidRDefault="001712FB" w:rsidP="001712FB">
      <w:pPr>
        <w:rPr>
          <w:lang w:eastAsia="en-CA"/>
        </w:rPr>
      </w:pPr>
    </w:p>
    <w:p w:rsidR="0028244E" w:rsidRDefault="0028244E" w:rsidP="00D1420C">
      <w:pPr>
        <w:pStyle w:val="BodyText"/>
        <w:rPr>
          <w:lang w:val="en-US"/>
        </w:rPr>
      </w:pPr>
    </w:p>
    <w:p w:rsidR="00D1420C" w:rsidRDefault="00D1420C" w:rsidP="00D1420C">
      <w:pPr>
        <w:pStyle w:val="Heading2"/>
      </w:pPr>
      <w:bookmarkStart w:id="315" w:name="_Toc338703719"/>
      <w:r>
        <w:t>Reconstructing the Backcast</w:t>
      </w:r>
      <w:bookmarkEnd w:id="315"/>
    </w:p>
    <w:p w:rsidR="00D1420C" w:rsidRDefault="00D1420C" w:rsidP="00D1420C">
      <w:pPr>
        <w:pStyle w:val="BodyText"/>
        <w:rPr>
          <w:lang w:val="en-US"/>
        </w:rPr>
      </w:pPr>
      <w:r>
        <w:rPr>
          <w:lang w:val="en-US"/>
        </w:rPr>
        <w:t xml:space="preserve">To enable the CLFN SA ALCES model to complete a reasonable </w:t>
      </w:r>
      <w:r w:rsidR="00C544DE">
        <w:rPr>
          <w:lang w:val="en-US"/>
        </w:rPr>
        <w:t>land-use</w:t>
      </w:r>
      <w:r>
        <w:rPr>
          <w:lang w:val="en-US"/>
        </w:rPr>
        <w:t xml:space="preserve"> backcast from the end of RNV era (1912) to current (2012) standing, we examined relevant townships from the Alberta </w:t>
      </w:r>
      <w:r w:rsidR="00C544DE">
        <w:rPr>
          <w:lang w:val="en-US"/>
        </w:rPr>
        <w:t>Land-use</w:t>
      </w:r>
      <w:r>
        <w:rPr>
          <w:lang w:val="en-US"/>
        </w:rPr>
        <w:t xml:space="preserve"> Historical Time Series Dataset (2012). An example of these historical time series is provided for wellsites (</w:t>
      </w:r>
      <w:r w:rsidR="00575CA7">
        <w:rPr>
          <w:lang w:val="en-US"/>
        </w:rPr>
        <w:fldChar w:fldCharType="begin"/>
      </w:r>
      <w:r>
        <w:rPr>
          <w:lang w:val="en-US"/>
        </w:rPr>
        <w:instrText xml:space="preserve"> REF _Ref325666231 \h </w:instrText>
      </w:r>
      <w:r w:rsidR="00575CA7">
        <w:rPr>
          <w:lang w:val="en-US"/>
        </w:rPr>
      </w:r>
      <w:r w:rsidR="00575CA7">
        <w:rPr>
          <w:lang w:val="en-US"/>
        </w:rPr>
        <w:fldChar w:fldCharType="separate"/>
      </w:r>
      <w:r w:rsidR="003648B8">
        <w:t xml:space="preserve">Figure </w:t>
      </w:r>
      <w:r w:rsidR="003648B8">
        <w:rPr>
          <w:noProof/>
        </w:rPr>
        <w:t>116</w:t>
      </w:r>
      <w:r w:rsidR="00575CA7">
        <w:rPr>
          <w:lang w:val="en-US"/>
        </w:rPr>
        <w:fldChar w:fldCharType="end"/>
      </w:r>
      <w:r>
        <w:rPr>
          <w:lang w:val="en-US"/>
        </w:rPr>
        <w:t>).</w:t>
      </w:r>
    </w:p>
    <w:p w:rsidR="00D1420C" w:rsidRDefault="00D1420C" w:rsidP="00D1420C">
      <w:r>
        <w:t xml:space="preserve">The objective of the Alberta </w:t>
      </w:r>
      <w:r w:rsidR="00C544DE">
        <w:t>Land-use</w:t>
      </w:r>
      <w:r>
        <w:t xml:space="preserve"> Historical Time Series Dataset was to create maps at decadal intervals depicting the historical transformation of Alberta’s landscape over the past century (1910 to 2010).  The general approach was to start with today’s (i.e., 2010) landscape composition and remove anthropogenic footprints at rates consistent with the best available historical </w:t>
      </w:r>
      <w:r w:rsidR="00C544DE">
        <w:t>land-use</w:t>
      </w:r>
      <w:r>
        <w:t xml:space="preserve"> data.  </w:t>
      </w:r>
    </w:p>
    <w:p w:rsidR="00D1420C" w:rsidRDefault="00D1420C" w:rsidP="00D1420C"/>
    <w:p w:rsidR="00D1420C" w:rsidRPr="00304209" w:rsidRDefault="00D1420C" w:rsidP="007412D5">
      <w:pPr>
        <w:pStyle w:val="Heading3"/>
      </w:pPr>
      <w:bookmarkStart w:id="316" w:name="_Toc338703720"/>
      <w:r>
        <w:t>Landscape C</w:t>
      </w:r>
      <w:r w:rsidRPr="00304209">
        <w:t>omposition</w:t>
      </w:r>
      <w:bookmarkEnd w:id="316"/>
    </w:p>
    <w:p w:rsidR="00D1420C" w:rsidRDefault="00D1420C" w:rsidP="00D1420C">
      <w:r>
        <w:t xml:space="preserve">Land cover was classified according to the natural subregions of Alberta.  Cover types included the following natural subregions: Alpine, Subalpine, Montane, Upper Foothills, Lower Foothills, Foothills Parkland, Central Parkland, Peace River Parkland, Foothills Fescue, Northern Fescue, Mixed Grassland, Dry Mixed Grassland, Central Mixedwood, Dry Mixedwood, Northern Mixedwood, Boreal Highlands, Peace-Athabasca Delta, and Kazan Upland Precambrian Shield.  The spatial distribution of forage and cropland was assessed </w:t>
      </w:r>
      <w:r>
        <w:lastRenderedPageBreak/>
        <w:t>using the Agriculture Canada and Earth Observation for Sustainable Development data (based on circa 2000 landsat imagery).  The abundance and location of anthropogenic footprints were derived from a variety of footprint inventories (</w:t>
      </w:r>
      <w:r w:rsidR="00575CA7">
        <w:rPr>
          <w:highlight w:val="yellow"/>
        </w:rPr>
        <w:fldChar w:fldCharType="begin"/>
      </w:r>
      <w:r w:rsidR="00FF3378">
        <w:instrText xml:space="preserve"> REF _Ref326217858 \h </w:instrText>
      </w:r>
      <w:r w:rsidR="00575CA7">
        <w:rPr>
          <w:highlight w:val="yellow"/>
        </w:rPr>
      </w:r>
      <w:r w:rsidR="00575CA7">
        <w:rPr>
          <w:highlight w:val="yellow"/>
        </w:rPr>
        <w:fldChar w:fldCharType="separate"/>
      </w:r>
      <w:r w:rsidR="003648B8">
        <w:t xml:space="preserve">Table </w:t>
      </w:r>
      <w:r w:rsidR="003648B8">
        <w:rPr>
          <w:noProof/>
        </w:rPr>
        <w:t>12</w:t>
      </w:r>
      <w:r w:rsidR="00575CA7">
        <w:rPr>
          <w:highlight w:val="yellow"/>
        </w:rPr>
        <w:fldChar w:fldCharType="end"/>
      </w:r>
      <w:r>
        <w:t>).  The data sets were selected to include the most current data available with coverage across the province.  The datasets were deemed to be relatively accurate, with the exception of the CanVec seismic inventory which was corrected to overcome a substantial under-representation of the current seismic footprint</w:t>
      </w:r>
      <w:r>
        <w:rPr>
          <w:rStyle w:val="FootnoteReference"/>
        </w:rPr>
        <w:footnoteReference w:id="3"/>
      </w:r>
      <w:r>
        <w:t>.</w:t>
      </w:r>
    </w:p>
    <w:p w:rsidR="00D1420C" w:rsidRDefault="00D1420C" w:rsidP="00D1420C">
      <w:pPr>
        <w:pStyle w:val="Caption"/>
        <w:keepNext/>
      </w:pPr>
    </w:p>
    <w:p w:rsidR="00D1420C" w:rsidRDefault="00D1420C" w:rsidP="00D1420C">
      <w:pPr>
        <w:pStyle w:val="Caption"/>
        <w:keepNext/>
      </w:pPr>
      <w:bookmarkStart w:id="317" w:name="_Ref326217858"/>
      <w:bookmarkStart w:id="318" w:name="_Toc338703778"/>
      <w:proofErr w:type="gramStart"/>
      <w:r>
        <w:t xml:space="preserve">Table </w:t>
      </w:r>
      <w:r w:rsidR="00575CA7">
        <w:fldChar w:fldCharType="begin"/>
      </w:r>
      <w:r w:rsidR="00D75024">
        <w:instrText xml:space="preserve"> SEQ Table \* ARABIC </w:instrText>
      </w:r>
      <w:r w:rsidR="00575CA7">
        <w:fldChar w:fldCharType="separate"/>
      </w:r>
      <w:r w:rsidR="002B4C72">
        <w:rPr>
          <w:noProof/>
        </w:rPr>
        <w:t>14</w:t>
      </w:r>
      <w:r w:rsidR="00575CA7">
        <w:fldChar w:fldCharType="end"/>
      </w:r>
      <w:bookmarkEnd w:id="317"/>
      <w:r>
        <w:t>.</w:t>
      </w:r>
      <w:proofErr w:type="gramEnd"/>
      <w:r>
        <w:t xml:space="preserve">  Data sets used to assess the current distribution of anthropogenic footprint in Alberta.</w:t>
      </w:r>
      <w:bookmarkEnd w:id="318"/>
    </w:p>
    <w:tbl>
      <w:tblPr>
        <w:tblStyle w:val="TableGrid"/>
        <w:tblW w:w="0" w:type="auto"/>
        <w:tblLook w:val="04A0"/>
      </w:tblPr>
      <w:tblGrid>
        <w:gridCol w:w="2943"/>
        <w:gridCol w:w="5913"/>
      </w:tblGrid>
      <w:tr w:rsidR="00D1420C" w:rsidTr="00056699">
        <w:tc>
          <w:tcPr>
            <w:tcW w:w="2943" w:type="dxa"/>
          </w:tcPr>
          <w:p w:rsidR="00D1420C" w:rsidRDefault="00D1420C" w:rsidP="00056699">
            <w:r>
              <w:t>Footprint</w:t>
            </w:r>
          </w:p>
        </w:tc>
        <w:tc>
          <w:tcPr>
            <w:tcW w:w="5913" w:type="dxa"/>
          </w:tcPr>
          <w:p w:rsidR="00D1420C" w:rsidRDefault="00D1420C" w:rsidP="00056699">
            <w:r>
              <w:t>Data source</w:t>
            </w:r>
          </w:p>
        </w:tc>
      </w:tr>
      <w:tr w:rsidR="00D1420C" w:rsidTr="00056699">
        <w:tc>
          <w:tcPr>
            <w:tcW w:w="2943" w:type="dxa"/>
          </w:tcPr>
          <w:p w:rsidR="00D1420C" w:rsidRDefault="00D1420C" w:rsidP="00056699">
            <w:r>
              <w:t>Major and minor roads</w:t>
            </w:r>
          </w:p>
        </w:tc>
        <w:tc>
          <w:tcPr>
            <w:tcW w:w="5913" w:type="dxa"/>
          </w:tcPr>
          <w:p w:rsidR="00D1420C" w:rsidRDefault="00D1420C" w:rsidP="00056699">
            <w:r>
              <w:t>Canvec, updated to 2009.  Line data buffered to a total width of 40 m and 24 m for major and minor roads, respectively.</w:t>
            </w:r>
          </w:p>
        </w:tc>
      </w:tr>
      <w:tr w:rsidR="00D1420C" w:rsidTr="00056699">
        <w:tc>
          <w:tcPr>
            <w:tcW w:w="2943" w:type="dxa"/>
          </w:tcPr>
          <w:p w:rsidR="00D1420C" w:rsidRDefault="00D1420C" w:rsidP="00056699">
            <w:r>
              <w:t>Railroads</w:t>
            </w:r>
          </w:p>
        </w:tc>
        <w:tc>
          <w:tcPr>
            <w:tcW w:w="5913" w:type="dxa"/>
          </w:tcPr>
          <w:p w:rsidR="00D1420C" w:rsidRDefault="00D1420C" w:rsidP="00056699">
            <w:r>
              <w:t>Canvec, updated to 1994.  Line data buffered to a total width of 20 m.</w:t>
            </w:r>
          </w:p>
        </w:tc>
      </w:tr>
      <w:tr w:rsidR="00D1420C" w:rsidTr="00056699">
        <w:tc>
          <w:tcPr>
            <w:tcW w:w="2943" w:type="dxa"/>
          </w:tcPr>
          <w:p w:rsidR="00D1420C" w:rsidRDefault="00D1420C" w:rsidP="00056699">
            <w:r>
              <w:t>Seismic</w:t>
            </w:r>
          </w:p>
        </w:tc>
        <w:tc>
          <w:tcPr>
            <w:tcW w:w="5913" w:type="dxa"/>
          </w:tcPr>
          <w:p w:rsidR="00D1420C" w:rsidRDefault="00D1420C" w:rsidP="00056699">
            <w:proofErr w:type="gramStart"/>
            <w:r>
              <w:t>Canvec,</w:t>
            </w:r>
            <w:proofErr w:type="gramEnd"/>
            <w:r>
              <w:t xml:space="preserve"> updated to 1995 and corrected.  Line data buffered to a total width of 5 m.</w:t>
            </w:r>
          </w:p>
        </w:tc>
      </w:tr>
      <w:tr w:rsidR="00D1420C" w:rsidTr="00056699">
        <w:tc>
          <w:tcPr>
            <w:tcW w:w="2943" w:type="dxa"/>
          </w:tcPr>
          <w:p w:rsidR="00D1420C" w:rsidRDefault="00D1420C" w:rsidP="00056699">
            <w:r>
              <w:t>Pipelines</w:t>
            </w:r>
          </w:p>
        </w:tc>
        <w:tc>
          <w:tcPr>
            <w:tcW w:w="5913" w:type="dxa"/>
          </w:tcPr>
          <w:p w:rsidR="00D1420C" w:rsidRDefault="00D1420C" w:rsidP="00056699">
            <w:r>
              <w:t>ERCB, updated to 2011.  Line data buffered to a total width of 15 m.</w:t>
            </w:r>
          </w:p>
        </w:tc>
      </w:tr>
      <w:tr w:rsidR="00D1420C" w:rsidTr="00056699">
        <w:tc>
          <w:tcPr>
            <w:tcW w:w="2943" w:type="dxa"/>
          </w:tcPr>
          <w:p w:rsidR="00D1420C" w:rsidRDefault="00D1420C" w:rsidP="00056699">
            <w:r>
              <w:t>Wellsites</w:t>
            </w:r>
          </w:p>
        </w:tc>
        <w:tc>
          <w:tcPr>
            <w:tcW w:w="5913" w:type="dxa"/>
          </w:tcPr>
          <w:p w:rsidR="00D1420C" w:rsidRDefault="00D1420C" w:rsidP="00056699">
            <w:r>
              <w:t>ERCB, updated to 2011.  Point data buffered to 100 m x 100 m.</w:t>
            </w:r>
          </w:p>
        </w:tc>
      </w:tr>
      <w:tr w:rsidR="00D1420C" w:rsidTr="00056699">
        <w:tc>
          <w:tcPr>
            <w:tcW w:w="2943" w:type="dxa"/>
          </w:tcPr>
          <w:p w:rsidR="00D1420C" w:rsidRDefault="00D1420C" w:rsidP="00056699">
            <w:r>
              <w:t>Industrial sites</w:t>
            </w:r>
          </w:p>
        </w:tc>
        <w:tc>
          <w:tcPr>
            <w:tcW w:w="5913" w:type="dxa"/>
          </w:tcPr>
          <w:p w:rsidR="00D1420C" w:rsidRDefault="00D1420C" w:rsidP="00056699">
            <w:r>
              <w:t>Canvec, updated to 1994.  ERCB facility point data, updated to 2011.  Point data buffered based on the average digitized extent of a randomly selected subset of each facility type.</w:t>
            </w:r>
          </w:p>
        </w:tc>
      </w:tr>
      <w:tr w:rsidR="00D1420C" w:rsidTr="00056699">
        <w:tc>
          <w:tcPr>
            <w:tcW w:w="2943" w:type="dxa"/>
          </w:tcPr>
          <w:p w:rsidR="00D1420C" w:rsidRDefault="00D1420C" w:rsidP="00056699">
            <w:r>
              <w:t>Mines</w:t>
            </w:r>
          </w:p>
        </w:tc>
        <w:tc>
          <w:tcPr>
            <w:tcW w:w="5913" w:type="dxa"/>
          </w:tcPr>
          <w:p w:rsidR="00D1420C" w:rsidRDefault="00D1420C" w:rsidP="00056699">
            <w:r>
              <w:t xml:space="preserve">Global Forest Watch Canada mine datasets.  Spatial extent of mines based on SPOT5 2007 imagery. </w:t>
            </w:r>
          </w:p>
        </w:tc>
      </w:tr>
      <w:tr w:rsidR="00D1420C" w:rsidTr="00056699">
        <w:tc>
          <w:tcPr>
            <w:tcW w:w="2943" w:type="dxa"/>
          </w:tcPr>
          <w:p w:rsidR="00D1420C" w:rsidRDefault="00D1420C" w:rsidP="00056699">
            <w:r>
              <w:t>Gravel pits</w:t>
            </w:r>
          </w:p>
        </w:tc>
        <w:tc>
          <w:tcPr>
            <w:tcW w:w="5913" w:type="dxa"/>
          </w:tcPr>
          <w:p w:rsidR="00D1420C" w:rsidRDefault="00D1420C" w:rsidP="00056699">
            <w:r>
              <w:t>Canvec, updated to 1994.</w:t>
            </w:r>
          </w:p>
        </w:tc>
      </w:tr>
      <w:tr w:rsidR="00D1420C" w:rsidTr="00056699">
        <w:tc>
          <w:tcPr>
            <w:tcW w:w="2943" w:type="dxa"/>
          </w:tcPr>
          <w:p w:rsidR="00D1420C" w:rsidRDefault="00D1420C" w:rsidP="00056699">
            <w:r>
              <w:t>Transmission lines</w:t>
            </w:r>
          </w:p>
        </w:tc>
        <w:tc>
          <w:tcPr>
            <w:tcW w:w="5913" w:type="dxa"/>
          </w:tcPr>
          <w:p w:rsidR="00D1420C" w:rsidRDefault="00D1420C" w:rsidP="00056699">
            <w:r>
              <w:t>Canvec, updated to 1994.  Line data buffered to a total width of 40 m.</w:t>
            </w:r>
          </w:p>
        </w:tc>
      </w:tr>
      <w:tr w:rsidR="00D1420C" w:rsidTr="00056699">
        <w:tc>
          <w:tcPr>
            <w:tcW w:w="2943" w:type="dxa"/>
          </w:tcPr>
          <w:p w:rsidR="00D1420C" w:rsidRDefault="00D1420C" w:rsidP="00056699">
            <w:r>
              <w:t>Settlements</w:t>
            </w:r>
          </w:p>
        </w:tc>
        <w:tc>
          <w:tcPr>
            <w:tcW w:w="5913" w:type="dxa"/>
          </w:tcPr>
          <w:p w:rsidR="00D1420C" w:rsidRDefault="00D1420C" w:rsidP="00056699">
            <w:r>
              <w:t>Canvec, updated to 2009.  Point data buffered by actual and assumed settlement areas</w:t>
            </w:r>
            <w:r>
              <w:rPr>
                <w:rStyle w:val="FootnoteReference"/>
              </w:rPr>
              <w:footnoteReference w:id="4"/>
            </w:r>
            <w:r>
              <w:t>.</w:t>
            </w:r>
          </w:p>
        </w:tc>
      </w:tr>
      <w:tr w:rsidR="00D1420C" w:rsidTr="00056699">
        <w:tc>
          <w:tcPr>
            <w:tcW w:w="2943" w:type="dxa"/>
          </w:tcPr>
          <w:p w:rsidR="00D1420C" w:rsidRDefault="00D1420C" w:rsidP="00056699">
            <w:r>
              <w:t>Rural residential</w:t>
            </w:r>
          </w:p>
        </w:tc>
        <w:tc>
          <w:tcPr>
            <w:tcW w:w="5913" w:type="dxa"/>
          </w:tcPr>
          <w:p w:rsidR="00D1420C" w:rsidRDefault="00D1420C" w:rsidP="00056699">
            <w:r>
              <w:t xml:space="preserve">Alberta Government water wells, updated to 2011.  </w:t>
            </w:r>
          </w:p>
        </w:tc>
      </w:tr>
      <w:tr w:rsidR="00D1420C" w:rsidTr="00056699">
        <w:tc>
          <w:tcPr>
            <w:tcW w:w="2943" w:type="dxa"/>
          </w:tcPr>
          <w:p w:rsidR="00D1420C" w:rsidRDefault="00D1420C" w:rsidP="00056699">
            <w:r>
              <w:t>Recreational</w:t>
            </w:r>
          </w:p>
        </w:tc>
        <w:tc>
          <w:tcPr>
            <w:tcW w:w="5913" w:type="dxa"/>
          </w:tcPr>
          <w:p w:rsidR="00D1420C" w:rsidRDefault="00D1420C" w:rsidP="00056699">
            <w:r>
              <w:t>Canvec.  Spatial extent of ski hills based on SPOT5 2007 imagery.</w:t>
            </w:r>
          </w:p>
        </w:tc>
      </w:tr>
    </w:tbl>
    <w:p w:rsidR="00D1420C" w:rsidRDefault="00D1420C" w:rsidP="00D1420C"/>
    <w:p w:rsidR="00D1420C" w:rsidRDefault="00D1420C" w:rsidP="00D1420C">
      <w:r>
        <w:t xml:space="preserve">The footprint and land cover data were integrated to produce a single landscape composition data layer.  Integration required removing land cover that was overlain by footprint.  When integrating, footprints occasionally overlapped with each other.  To avoid double counting </w:t>
      </w:r>
      <w:r>
        <w:lastRenderedPageBreak/>
        <w:t xml:space="preserve">anthropogenic disturbance, overlapping footprints were assigned to a single footprint type, with more permanent footprints such as settlements or roads taking precedence over temporary footprints such as seismic lines and well sites.  In addition to the current landscape composition data layer, a presettlement landscape composition data layer was created.  The presettlement data layer, which reflects land cover prior to integration with the footprint inventories, was used during the backcast modeling to revert current footprint to historical land cover.  </w:t>
      </w:r>
    </w:p>
    <w:p w:rsidR="00D1420C" w:rsidRDefault="00D1420C" w:rsidP="00D1420C"/>
    <w:p w:rsidR="00D1420C" w:rsidRPr="00A16274" w:rsidRDefault="00D1420C" w:rsidP="00D1420C">
      <w:r>
        <w:t>The current and presettlement landscape composition data were summarized on a 10 x 10 km cell basis, in terms of the area of each land cover and footprint class in each cell.  The 10 x 10 km resolution was used because it is consistent with the size of townships, a familiar land unit in the province (i.e., Alberta Township System), and because it was the highest resolution achievable with the resources available for the project.</w:t>
      </w:r>
    </w:p>
    <w:p w:rsidR="00D1420C" w:rsidRDefault="00D1420C" w:rsidP="00D1420C"/>
    <w:p w:rsidR="00D1420C" w:rsidRPr="00304209" w:rsidRDefault="00D1420C" w:rsidP="007412D5">
      <w:pPr>
        <w:pStyle w:val="Heading3"/>
      </w:pPr>
      <w:bookmarkStart w:id="319" w:name="_Toc338703721"/>
      <w:r>
        <w:t xml:space="preserve">Historical </w:t>
      </w:r>
      <w:r w:rsidR="00C544DE">
        <w:t>Land-use</w:t>
      </w:r>
      <w:r>
        <w:t xml:space="preserve"> T</w:t>
      </w:r>
      <w:r w:rsidRPr="00304209">
        <w:t>rajectories</w:t>
      </w:r>
      <w:bookmarkEnd w:id="319"/>
    </w:p>
    <w:p w:rsidR="00D1420C" w:rsidRDefault="00D1420C" w:rsidP="00D1420C">
      <w:r>
        <w:t>Historical footprint data were used to estimate each cell’s footprint at decadal intervals back to 1910.  Historical data were available for only a subset of footprint types, requiring the use of surrogates to approximate historical trajectories for some footprints.  Information used to approximate historical footprint trajectories is now described.</w:t>
      </w:r>
    </w:p>
    <w:p w:rsidR="00D1420C" w:rsidRDefault="00D1420C" w:rsidP="00D1420C"/>
    <w:p w:rsidR="00D1420C" w:rsidRPr="00040AAF" w:rsidRDefault="00D1420C" w:rsidP="00D1420C">
      <w:pPr>
        <w:rPr>
          <w:rFonts w:ascii="Arial" w:hAnsi="Arial" w:cs="Arial"/>
        </w:rPr>
      </w:pPr>
      <w:r w:rsidRPr="00040AAF">
        <w:rPr>
          <w:rFonts w:ascii="Arial" w:hAnsi="Arial" w:cs="Arial"/>
        </w:rPr>
        <w:t>Energy Sector</w:t>
      </w:r>
    </w:p>
    <w:p w:rsidR="00D1420C" w:rsidRDefault="00D1420C" w:rsidP="00D1420C">
      <w:r>
        <w:t>The historical trajectory for wells was based on spud date information included in the Energy Resources and Conservation Board well data set.  Historical footprint data were not available for pipelines, seismic lines, or plants.  In the absence of better data, these footprints were assumed to have grown within each cell at the same rate as hydrocarbon wells (i.e., based on spud dates).</w:t>
      </w:r>
    </w:p>
    <w:p w:rsidR="00D1420C" w:rsidRDefault="00D1420C" w:rsidP="00D1420C"/>
    <w:p w:rsidR="00D1420C" w:rsidRPr="00040AAF" w:rsidRDefault="00D1420C" w:rsidP="00D1420C">
      <w:pPr>
        <w:rPr>
          <w:rFonts w:ascii="Arial" w:hAnsi="Arial" w:cs="Arial"/>
        </w:rPr>
      </w:pPr>
      <w:r w:rsidRPr="00040AAF">
        <w:rPr>
          <w:rFonts w:ascii="Arial" w:hAnsi="Arial" w:cs="Arial"/>
        </w:rPr>
        <w:t>Agricultural Sector</w:t>
      </w:r>
    </w:p>
    <w:p w:rsidR="00D1420C" w:rsidRDefault="00D1420C" w:rsidP="00D1420C">
      <w:r>
        <w:t>The historical trajectory for cropland and pasture was based on a data set identifying the date (in 5-year increments) of first cultivation in 1:250,000 map sheets (</w:t>
      </w:r>
      <w:r w:rsidR="00682470">
        <w:t>Miistakis</w:t>
      </w:r>
      <w:r>
        <w:t xml:space="preserve"> Institute, pers. comm.).  To approximate the rate of agricultural expansion from the date of first cultivation data, it was assumed that agriculture land in a given 1:250,000 map </w:t>
      </w:r>
      <w:proofErr w:type="gramStart"/>
      <w:r>
        <w:t>sheet</w:t>
      </w:r>
      <w:proofErr w:type="gramEnd"/>
      <w:r>
        <w:t xml:space="preserve"> increased linearly from 0 at date of first cultivation to its current extent over a period of six decades.  The six-decade expansion period was based on a review of the provincial historical agriculture land trajectory (www.abll.ca); the provincial trajectory was well approximated by the date of first cultivation trajectory when a six-decade expansion period was applied.  </w:t>
      </w:r>
    </w:p>
    <w:p w:rsidR="00D1420C" w:rsidRDefault="00D1420C" w:rsidP="00D1420C"/>
    <w:p w:rsidR="00D1420C" w:rsidRPr="00E90BC8" w:rsidRDefault="00D1420C" w:rsidP="00D1420C">
      <w:r>
        <w:t>In addition to cropland and pasture, trajectories for cattle population and feedlots were constructed.  To estimate the current cattle population within each cell, the province’s cattle population was distributed spatially based on the relative size of the cattle population by ecodistrict (according to Agriculture Canada data) and the prevalence of land cover and footprint types assumed to be associated with cattle.  The historical cattle population trajectory was then approximated to be consistent with the provincial historical cattle population trajectory and the trajectories of the land cover types</w:t>
      </w:r>
      <w:r w:rsidR="00040AAF">
        <w:t>.</w:t>
      </w:r>
      <w:r>
        <w:t xml:space="preserve">   Feedlots are thought to have emerged as a footpr</w:t>
      </w:r>
      <w:r w:rsidR="00040AAF">
        <w:t>int in Alberta in the late 1950</w:t>
      </w:r>
      <w:r>
        <w:t xml:space="preserve">s </w:t>
      </w:r>
      <w:r>
        <w:lastRenderedPageBreak/>
        <w:t>(</w:t>
      </w:r>
      <w:hyperlink r:id="rId133" w:history="1">
        <w:r w:rsidRPr="00F46641">
          <w:rPr>
            <w:rStyle w:val="Hyperlink"/>
          </w:rPr>
          <w:t>http://www.westernfeedlots.com/index.php?id=31</w:t>
        </w:r>
      </w:hyperlink>
      <w:r>
        <w:t>).  Information was not available, however, to identify the spatiotemporal patter of feedl</w:t>
      </w:r>
      <w:r w:rsidR="00040AAF">
        <w:t>ot expansion from the late 1950</w:t>
      </w:r>
      <w:r>
        <w:t>s to today.  In the absence of better information, the area of feedlots in each cell was assumed to i</w:t>
      </w:r>
      <w:r w:rsidR="00040AAF">
        <w:t>ncrease from 0 in the late 1950</w:t>
      </w:r>
      <w:r>
        <w:t>s to its current extent at the rate of cattle population growth in the province during this period (</w:t>
      </w:r>
      <w:hyperlink r:id="rId134" w:history="1">
        <w:r w:rsidRPr="004D6EE0">
          <w:rPr>
            <w:rStyle w:val="Hyperlink"/>
          </w:rPr>
          <w:t>www.abll.ca</w:t>
        </w:r>
      </w:hyperlink>
      <w:r>
        <w:t xml:space="preserve">).  </w:t>
      </w:r>
    </w:p>
    <w:p w:rsidR="00D1420C" w:rsidRDefault="00D1420C" w:rsidP="00D1420C"/>
    <w:p w:rsidR="00D1420C" w:rsidRPr="00040AAF" w:rsidRDefault="00D1420C" w:rsidP="00D1420C">
      <w:pPr>
        <w:rPr>
          <w:rFonts w:ascii="Arial" w:hAnsi="Arial" w:cs="Arial"/>
        </w:rPr>
      </w:pPr>
      <w:r w:rsidRPr="00040AAF">
        <w:rPr>
          <w:rFonts w:ascii="Arial" w:hAnsi="Arial" w:cs="Arial"/>
        </w:rPr>
        <w:t>Human Settlements</w:t>
      </w:r>
    </w:p>
    <w:p w:rsidR="00D1420C" w:rsidRDefault="00D1420C" w:rsidP="00D1420C">
      <w:r>
        <w:t xml:space="preserve">The footprint of settlements was assumed to have expanded at the same rate as their population, according to community population data obtained from the </w:t>
      </w:r>
      <w:r w:rsidR="00682470">
        <w:t>Miistakis</w:t>
      </w:r>
      <w:r>
        <w:t xml:space="preserve"> Institute.  Human population not incorporated by the community population data set was assumed to be rural; the trend in rural population was based on the difference between the historical provincial and community population data.  The historical growth in rural residential footprint was assumed to be proportional to the rate of growth in water wells in a cell, according to drill dates from the Alberta Government water well data set.</w:t>
      </w:r>
    </w:p>
    <w:p w:rsidR="00D1420C" w:rsidRDefault="00D1420C" w:rsidP="00D1420C"/>
    <w:p w:rsidR="00D1420C" w:rsidRPr="00040AAF" w:rsidRDefault="00D1420C" w:rsidP="00D1420C">
      <w:pPr>
        <w:rPr>
          <w:rFonts w:ascii="Arial" w:hAnsi="Arial" w:cs="Arial"/>
        </w:rPr>
      </w:pPr>
      <w:r w:rsidRPr="00040AAF">
        <w:rPr>
          <w:rFonts w:ascii="Arial" w:hAnsi="Arial" w:cs="Arial"/>
        </w:rPr>
        <w:t>Mines</w:t>
      </w:r>
    </w:p>
    <w:p w:rsidR="00D1420C" w:rsidRDefault="00D1420C" w:rsidP="00D1420C">
      <w:r>
        <w:t xml:space="preserve">The area of each mine in the province was assumed to have expanded linearly from 0 at its date or inception to its full extent by the date of mine closure (or today if the mine is still operating).  Inception and closure dates were obtained from the internet.  </w:t>
      </w:r>
    </w:p>
    <w:p w:rsidR="00D1420C" w:rsidRDefault="00D1420C" w:rsidP="00D1420C"/>
    <w:p w:rsidR="00D1420C" w:rsidRPr="00040AAF" w:rsidRDefault="00D1420C" w:rsidP="00D1420C">
      <w:pPr>
        <w:rPr>
          <w:rFonts w:ascii="Arial" w:hAnsi="Arial" w:cs="Arial"/>
        </w:rPr>
      </w:pPr>
      <w:r w:rsidRPr="00040AAF">
        <w:rPr>
          <w:rFonts w:ascii="Arial" w:hAnsi="Arial" w:cs="Arial"/>
        </w:rPr>
        <w:t>Roads</w:t>
      </w:r>
    </w:p>
    <w:p w:rsidR="00D1420C" w:rsidRDefault="00D1420C" w:rsidP="00D1420C">
      <w:r>
        <w:t xml:space="preserve">A historical highway data set obtained from </w:t>
      </w:r>
      <w:r w:rsidR="00682470">
        <w:t>Miistakis</w:t>
      </w:r>
      <w:r>
        <w:t xml:space="preserve"> was used to backcast major road footprint to 1950.  Backcasting of major roads not included in the </w:t>
      </w:r>
      <w:r w:rsidR="00682470">
        <w:t>Miistakis</w:t>
      </w:r>
      <w:r>
        <w:t xml:space="preserve"> data set or developed prior to 1950 was based on expert opinion, an internet search, and a region’s date of first cultivation.  Historical data were not available to inform the backcasting of minor roads.  Instead, minor roads were assumed to have expanded at the same rate as other </w:t>
      </w:r>
      <w:r w:rsidR="00C544DE">
        <w:t>land-use</w:t>
      </w:r>
      <w:r>
        <w:t xml:space="preserve"> footprints that are correlated with the current spatial distribution of minor roads.  Gravel pits were assumed to have expanded at the same rate as minor roads.  </w:t>
      </w:r>
    </w:p>
    <w:p w:rsidR="00D1420C" w:rsidRDefault="00D1420C" w:rsidP="00D1420C"/>
    <w:p w:rsidR="00D1420C" w:rsidRDefault="00D1420C" w:rsidP="00D1420C">
      <w:r>
        <w:t>The relationship between minor roads and other footprint types was estimated through regression.  Candidate explanatory variables in the regression included the area of agricultural land, major roads, well sites, settlements, and rural residential.  Timber harvest was also incorporated as a candidate explanatory variable by calculating each cell’s harvest intensity (m</w:t>
      </w:r>
      <w:r w:rsidRPr="00694277">
        <w:rPr>
          <w:vertAlign w:val="superscript"/>
        </w:rPr>
        <w:t>3</w:t>
      </w:r>
      <w:r>
        <w:t xml:space="preserve">/ha) from Global Forest Watch Canada’s forest tenure data set.  Statistical modelling of the relationship between minor road and the explanatory variables was problematic at the cell scale.  The residuals were not normally distributed and exhibited significant spatial autocorrelation (according to Moran’s Index).  Model performance was improved by reducing the resolution to 10 x 10 cell blocks.  At this scale, residuals were normally distributed and spatial autocorrelation was reduced.  At the 10 x 10 cell scale, significant explanatory variables were rural residential area, well site area, </w:t>
      </w:r>
      <w:proofErr w:type="gramStart"/>
      <w:r>
        <w:t>crop</w:t>
      </w:r>
      <w:proofErr w:type="gramEnd"/>
      <w:r>
        <w:t xml:space="preserve"> and pasture area, and harvest intensity.  A linear regression model with these four explanatory variables achieved a coefficient of determination of 97%.  According to the relationship, at the scale of 10 x 10 cell blocks: each hectare of rural residential footprint is associated 0.611 ha of minor road; each hectare of well is associated with 0.112 ha of minor road; each hectare of crop or pasture is associated with 0.015 ha of minor road; and each m</w:t>
      </w:r>
      <w:r w:rsidRPr="00694277">
        <w:rPr>
          <w:vertAlign w:val="superscript"/>
        </w:rPr>
        <w:t>3</w:t>
      </w:r>
      <w:r>
        <w:t xml:space="preserve"> of AAC per ha</w:t>
      </w:r>
      <w:r>
        <w:rPr>
          <w:rStyle w:val="FootnoteReference"/>
        </w:rPr>
        <w:footnoteReference w:id="5"/>
      </w:r>
      <w:r>
        <w:t xml:space="preserve"> is associated </w:t>
      </w:r>
      <w:r>
        <w:lastRenderedPageBreak/>
        <w:t xml:space="preserve">with 1.89 e+007 ha of minor road.  These coefficients were applied to historical trajectories for the explanatory footprints to estimate the rate at which minor road increased within each 10 x 10 cell block.  The historical AAC trajectory was based on a historical forest tenure data set obtained from the </w:t>
      </w:r>
      <w:r w:rsidR="00682470">
        <w:t>Miistakis</w:t>
      </w:r>
      <w:r>
        <w:t xml:space="preserve"> Institute.</w:t>
      </w:r>
    </w:p>
    <w:p w:rsidR="00D1420C" w:rsidRDefault="00D1420C" w:rsidP="00D1420C"/>
    <w:p w:rsidR="00D1420C" w:rsidRPr="00040AAF" w:rsidRDefault="00D1420C" w:rsidP="00D1420C">
      <w:pPr>
        <w:rPr>
          <w:rFonts w:ascii="Arial" w:hAnsi="Arial" w:cs="Arial"/>
        </w:rPr>
      </w:pPr>
      <w:r w:rsidRPr="00040AAF">
        <w:rPr>
          <w:rFonts w:ascii="Arial" w:hAnsi="Arial" w:cs="Arial"/>
        </w:rPr>
        <w:t>Transmission Lines</w:t>
      </w:r>
    </w:p>
    <w:p w:rsidR="00D1420C" w:rsidRDefault="00D1420C" w:rsidP="00D1420C">
      <w:r>
        <w:t>Historical data were not available to inform the backcast of transmission lines.  In the absence of better information, transmission lines were assumed to have expanded at the same rate as a region’s urban population.  Transmission line footprint often occurs in cells that do not contain settlement footprint.  Therefore, the resolution was reduced to 10 x 10 cells when approximating the historical rate of transmission line growth based on settlement footprint.</w:t>
      </w:r>
    </w:p>
    <w:p w:rsidR="00D1420C" w:rsidRDefault="00D1420C" w:rsidP="00D1420C"/>
    <w:p w:rsidR="00D1420C" w:rsidRPr="00040AAF" w:rsidRDefault="00D1420C" w:rsidP="00D1420C">
      <w:pPr>
        <w:rPr>
          <w:rFonts w:ascii="Arial" w:hAnsi="Arial" w:cs="Arial"/>
        </w:rPr>
      </w:pPr>
      <w:r w:rsidRPr="00040AAF">
        <w:rPr>
          <w:rFonts w:ascii="Arial" w:hAnsi="Arial" w:cs="Arial"/>
        </w:rPr>
        <w:t>Recreation Features</w:t>
      </w:r>
    </w:p>
    <w:p w:rsidR="00D1420C" w:rsidRDefault="00D1420C" w:rsidP="00D1420C">
      <w:r>
        <w:t xml:space="preserve">The backcast for ski hills was informed by their inception dates, identified in an internet search.  All other recreation footprint was assumed to have expanded at the same rate as a region’s urban population.  As when backcasting transmission lines, a 10 x 10 cell resolution was applied when approximating the historical rate of recreation feature growth based on settlement footprint. </w:t>
      </w:r>
    </w:p>
    <w:p w:rsidR="00D1420C" w:rsidRPr="00A05777" w:rsidRDefault="00D1420C" w:rsidP="00D1420C">
      <w:pPr>
        <w:pStyle w:val="BodyText"/>
        <w:rPr>
          <w:lang w:val="en-US"/>
        </w:rPr>
      </w:pPr>
    </w:p>
    <w:p w:rsidR="00D1420C" w:rsidRPr="00A05777" w:rsidRDefault="00D1420C" w:rsidP="00D1420C">
      <w:pPr>
        <w:pStyle w:val="Heading2"/>
      </w:pPr>
      <w:bookmarkStart w:id="320" w:name="_Toc338703722"/>
      <w:r>
        <w:t>Describing the Current Landscape</w:t>
      </w:r>
      <w:bookmarkEnd w:id="320"/>
    </w:p>
    <w:p w:rsidR="00D1420C" w:rsidRDefault="00D1420C" w:rsidP="00D1420C">
      <w:pPr>
        <w:pStyle w:val="BodyText"/>
        <w:rPr>
          <w:lang w:val="en-US"/>
        </w:rPr>
      </w:pPr>
      <w:r>
        <w:rPr>
          <w:lang w:val="en-US"/>
        </w:rPr>
        <w:t>The initial (circa 2012) composition of CLFN SA was constructed fro</w:t>
      </w:r>
      <w:r w:rsidR="00200DAF">
        <w:rPr>
          <w:lang w:val="en-US"/>
        </w:rPr>
        <w:t>m a set of public domain and proprietary</w:t>
      </w:r>
      <w:r>
        <w:rPr>
          <w:lang w:val="en-US"/>
        </w:rPr>
        <w:t xml:space="preserve"> GIS datasets that allowed the ALCES team to account for the spatially explicit and spatially stratified area (ha) and edge (km) of each landscape and footprint types (</w:t>
      </w:r>
      <w:r w:rsidR="00575CA7">
        <w:rPr>
          <w:lang w:val="en-US"/>
        </w:rPr>
        <w:fldChar w:fldCharType="begin"/>
      </w:r>
      <w:r>
        <w:rPr>
          <w:lang w:val="en-US"/>
        </w:rPr>
        <w:instrText xml:space="preserve"> REF _Ref325472250 \h </w:instrText>
      </w:r>
      <w:r w:rsidR="00575CA7">
        <w:rPr>
          <w:lang w:val="en-US"/>
        </w:rPr>
      </w:r>
      <w:r w:rsidR="00575CA7">
        <w:rPr>
          <w:lang w:val="en-US"/>
        </w:rPr>
        <w:fldChar w:fldCharType="separate"/>
      </w:r>
      <w:r w:rsidR="003648B8">
        <w:t xml:space="preserve">Figure </w:t>
      </w:r>
      <w:r w:rsidR="003648B8">
        <w:rPr>
          <w:noProof/>
        </w:rPr>
        <w:t>29</w:t>
      </w:r>
      <w:r w:rsidR="00575CA7">
        <w:rPr>
          <w:lang w:val="en-US"/>
        </w:rPr>
        <w:fldChar w:fldCharType="end"/>
      </w:r>
      <w:r>
        <w:rPr>
          <w:lang w:val="en-US"/>
        </w:rPr>
        <w:t>). Each footprint type was overlain on landscape type</w:t>
      </w:r>
      <w:r w:rsidR="00DD33C3">
        <w:rPr>
          <w:lang w:val="en-US"/>
        </w:rPr>
        <w:t>s</w:t>
      </w:r>
      <w:r>
        <w:rPr>
          <w:lang w:val="en-US"/>
        </w:rPr>
        <w:t xml:space="preserve"> to compute the spatial distribution of each footprint type (</w:t>
      </w:r>
      <w:r w:rsidR="00575CA7">
        <w:rPr>
          <w:lang w:val="en-US"/>
        </w:rPr>
        <w:fldChar w:fldCharType="begin"/>
      </w:r>
      <w:r>
        <w:rPr>
          <w:lang w:val="en-US"/>
        </w:rPr>
        <w:instrText xml:space="preserve"> REF _Ref325664260 \h </w:instrText>
      </w:r>
      <w:r w:rsidR="00575CA7">
        <w:rPr>
          <w:lang w:val="en-US"/>
        </w:rPr>
      </w:r>
      <w:r w:rsidR="00575CA7">
        <w:rPr>
          <w:lang w:val="en-US"/>
        </w:rPr>
        <w:fldChar w:fldCharType="separate"/>
      </w:r>
      <w:r w:rsidR="003648B8">
        <w:t xml:space="preserve">Figure </w:t>
      </w:r>
      <w:r w:rsidR="003648B8">
        <w:rPr>
          <w:noProof/>
        </w:rPr>
        <w:t>115</w:t>
      </w:r>
      <w:r w:rsidR="00575CA7">
        <w:rPr>
          <w:lang w:val="en-US"/>
        </w:rPr>
        <w:fldChar w:fldCharType="end"/>
      </w:r>
      <w:r>
        <w:rPr>
          <w:lang w:val="en-US"/>
        </w:rPr>
        <w:t>).</w:t>
      </w:r>
    </w:p>
    <w:p w:rsidR="00D1420C" w:rsidRDefault="00D1420C" w:rsidP="00D1420C">
      <w:pPr>
        <w:pStyle w:val="BodyText"/>
        <w:rPr>
          <w:lang w:val="en-US"/>
        </w:rPr>
      </w:pPr>
      <w:r>
        <w:rPr>
          <w:lang w:val="en-US"/>
        </w:rPr>
        <w:t xml:space="preserve">Spatial data pertaining to selected First Nations features (burial sites, cabins, trails, travel routes) were provided to the ALCES Group by Nu Nenne-Stantec Inc as assembled by the Cold Lake First Nations Traditional Knowledge Study, (2011). These data allowed the ALCES Group to calculate metrics (length, area and distribution) of each of these important cultural features.  </w:t>
      </w:r>
    </w:p>
    <w:p w:rsidR="00D1420C" w:rsidRDefault="00D1420C" w:rsidP="006401D8">
      <w:pPr>
        <w:pStyle w:val="BodyText"/>
        <w:keepNext/>
        <w:spacing w:after="0"/>
      </w:pPr>
      <w:r>
        <w:rPr>
          <w:noProof/>
          <w:lang w:val="en-US"/>
        </w:rPr>
        <w:lastRenderedPageBreak/>
        <w:drawing>
          <wp:inline distT="0" distB="0" distL="0" distR="0">
            <wp:extent cx="4663054" cy="3534508"/>
            <wp:effectExtent l="19050" t="19050" r="23246" b="27842"/>
            <wp:docPr id="7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srcRect/>
                    <a:stretch>
                      <a:fillRect/>
                    </a:stretch>
                  </pic:blipFill>
                  <pic:spPr bwMode="auto">
                    <a:xfrm>
                      <a:off x="0" y="0"/>
                      <a:ext cx="4678000" cy="3545837"/>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D1420C" w:rsidRDefault="00D1420C" w:rsidP="00D1420C">
      <w:pPr>
        <w:pStyle w:val="Caption"/>
      </w:pPr>
      <w:bookmarkStart w:id="321" w:name="_Ref325664260"/>
      <w:bookmarkStart w:id="322" w:name="_Toc338703894"/>
      <w:proofErr w:type="gramStart"/>
      <w:r>
        <w:t xml:space="preserve">Figure </w:t>
      </w:r>
      <w:fldSimple w:instr=" SEQ Figure \* ARABIC ">
        <w:r w:rsidR="00A02D22">
          <w:rPr>
            <w:noProof/>
          </w:rPr>
          <w:t>115</w:t>
        </w:r>
      </w:fldSimple>
      <w:bookmarkEnd w:id="321"/>
      <w:r>
        <w:t>.</w:t>
      </w:r>
      <w:proofErr w:type="gramEnd"/>
      <w:r>
        <w:t xml:space="preserve"> Distribution of </w:t>
      </w:r>
      <w:r w:rsidR="00C544DE">
        <w:t>land-use</w:t>
      </w:r>
      <w:r>
        <w:t xml:space="preserve"> footprint types within landscape types of CLFN SA.</w:t>
      </w:r>
      <w:bookmarkEnd w:id="322"/>
    </w:p>
    <w:p w:rsidR="00D1420C" w:rsidRDefault="00D1420C" w:rsidP="00D1420C">
      <w:pPr>
        <w:rPr>
          <w:lang w:eastAsia="en-CA"/>
        </w:rPr>
      </w:pPr>
    </w:p>
    <w:p w:rsidR="0028244E" w:rsidRDefault="0028244E" w:rsidP="0028244E">
      <w:pPr>
        <w:pStyle w:val="BodyText"/>
        <w:keepNext/>
        <w:spacing w:after="0"/>
      </w:pPr>
      <w:r>
        <w:rPr>
          <w:noProof/>
          <w:lang w:val="en-US"/>
        </w:rPr>
        <w:drawing>
          <wp:inline distT="0" distB="0" distL="0" distR="0">
            <wp:extent cx="4755402" cy="3600000"/>
            <wp:effectExtent l="19050" t="19050" r="26148" b="19500"/>
            <wp:docPr id="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cstate="print"/>
                    <a:srcRect/>
                    <a:stretch>
                      <a:fillRect/>
                    </a:stretch>
                  </pic:blipFill>
                  <pic:spPr bwMode="auto">
                    <a:xfrm>
                      <a:off x="0" y="0"/>
                      <a:ext cx="4755402"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28244E" w:rsidRDefault="0028244E" w:rsidP="0028244E">
      <w:pPr>
        <w:pStyle w:val="Caption"/>
      </w:pPr>
      <w:bookmarkStart w:id="323" w:name="_Ref325666231"/>
      <w:bookmarkStart w:id="324" w:name="_Toc338703895"/>
      <w:proofErr w:type="gramStart"/>
      <w:r>
        <w:t xml:space="preserve">Figure </w:t>
      </w:r>
      <w:fldSimple w:instr=" SEQ Figure \* ARABIC ">
        <w:r w:rsidR="00A02D22">
          <w:rPr>
            <w:noProof/>
          </w:rPr>
          <w:t>116</w:t>
        </w:r>
      </w:fldSimple>
      <w:bookmarkEnd w:id="323"/>
      <w:r>
        <w:t>.</w:t>
      </w:r>
      <w:proofErr w:type="gramEnd"/>
      <w:r>
        <w:t xml:space="preserve"> </w:t>
      </w:r>
      <w:proofErr w:type="gramStart"/>
      <w:r>
        <w:t>Historical time series of wellsites in the CLFN SA at a quarter township scale.</w:t>
      </w:r>
      <w:bookmarkEnd w:id="324"/>
      <w:proofErr w:type="gramEnd"/>
    </w:p>
    <w:p w:rsidR="003754CD" w:rsidRDefault="003754CD" w:rsidP="003754CD">
      <w:pPr>
        <w:rPr>
          <w:lang w:eastAsia="en-CA"/>
        </w:rPr>
      </w:pPr>
    </w:p>
    <w:p w:rsidR="003754CD" w:rsidRDefault="003754CD" w:rsidP="003754CD">
      <w:pPr>
        <w:pStyle w:val="Heading2"/>
      </w:pPr>
      <w:bookmarkStart w:id="325" w:name="_Toc338703723"/>
      <w:r>
        <w:lastRenderedPageBreak/>
        <w:t>Exploring the Future</w:t>
      </w:r>
      <w:bookmarkEnd w:id="325"/>
    </w:p>
    <w:p w:rsidR="00E73F96" w:rsidRDefault="00E73F96" w:rsidP="00E73F96">
      <w:pPr>
        <w:pStyle w:val="BodyText"/>
        <w:rPr>
          <w:lang w:val="en-US"/>
        </w:rPr>
      </w:pPr>
      <w:r>
        <w:rPr>
          <w:lang w:val="en-US"/>
        </w:rPr>
        <w:t xml:space="preserve">The </w:t>
      </w:r>
      <w:r w:rsidR="004A6B57">
        <w:rPr>
          <w:lang w:val="en-US"/>
        </w:rPr>
        <w:t>value</w:t>
      </w:r>
      <w:r>
        <w:rPr>
          <w:lang w:val="en-US"/>
        </w:rPr>
        <w:t xml:space="preserve"> of the future scenario is not to know but to learn. It is not possible, or desirable, to possess sufficient certainty about all deterministic </w:t>
      </w:r>
      <w:r w:rsidR="00142A69">
        <w:rPr>
          <w:lang w:val="en-US"/>
        </w:rPr>
        <w:t xml:space="preserve">and random variables in complex systems to build </w:t>
      </w:r>
      <w:r>
        <w:rPr>
          <w:lang w:val="en-US"/>
        </w:rPr>
        <w:t>forecast mode</w:t>
      </w:r>
      <w:r w:rsidR="00142A69">
        <w:rPr>
          <w:lang w:val="en-US"/>
        </w:rPr>
        <w:t>ls</w:t>
      </w:r>
      <w:r w:rsidR="00C13514">
        <w:rPr>
          <w:lang w:val="en-US"/>
        </w:rPr>
        <w:t xml:space="preserve"> that actually predict</w:t>
      </w:r>
      <w:r>
        <w:rPr>
          <w:lang w:val="en-US"/>
        </w:rPr>
        <w:t xml:space="preserve"> the future.</w:t>
      </w:r>
    </w:p>
    <w:p w:rsidR="004A6B57" w:rsidRDefault="004A6B57" w:rsidP="00E73F96">
      <w:pPr>
        <w:pStyle w:val="BodyText"/>
        <w:rPr>
          <w:lang w:val="en-US"/>
        </w:rPr>
      </w:pPr>
      <w:r>
        <w:rPr>
          <w:lang w:val="en-US"/>
        </w:rPr>
        <w:t xml:space="preserve">For some, the inherent uncertainty of the future is sufficient for them to discourage or </w:t>
      </w:r>
      <w:r w:rsidR="00C13514">
        <w:rPr>
          <w:lang w:val="en-US"/>
        </w:rPr>
        <w:t>find disreputable</w:t>
      </w:r>
      <w:r>
        <w:rPr>
          <w:lang w:val="en-US"/>
        </w:rPr>
        <w:t xml:space="preserve"> the science (and art) of forecast modeling.</w:t>
      </w:r>
      <w:r w:rsidR="00142A69">
        <w:rPr>
          <w:lang w:val="en-US"/>
        </w:rPr>
        <w:t xml:space="preserve"> These folks would rather live in the myopic world of here and now.  Unfortunately, having access only to today and history provides a narrow view of the world of opportunities and consequences, and </w:t>
      </w:r>
      <w:r w:rsidR="00C13514">
        <w:rPr>
          <w:lang w:val="en-US"/>
        </w:rPr>
        <w:t>condemns us, as the saying goes</w:t>
      </w:r>
      <w:r w:rsidR="00142A69">
        <w:rPr>
          <w:lang w:val="en-US"/>
        </w:rPr>
        <w:t>, to</w:t>
      </w:r>
      <w:r w:rsidR="001712FB">
        <w:rPr>
          <w:lang w:val="en-US"/>
        </w:rPr>
        <w:t xml:space="preserve"> </w:t>
      </w:r>
      <w:r w:rsidR="00142A69">
        <w:rPr>
          <w:lang w:val="en-US"/>
        </w:rPr>
        <w:t xml:space="preserve">“drive forward </w:t>
      </w:r>
      <w:r w:rsidR="001712FB">
        <w:rPr>
          <w:lang w:val="en-US"/>
        </w:rPr>
        <w:t xml:space="preserve">at high speed </w:t>
      </w:r>
      <w:r w:rsidR="00142A69">
        <w:rPr>
          <w:lang w:val="en-US"/>
        </w:rPr>
        <w:t>while looking through our rearview mirror”.</w:t>
      </w:r>
    </w:p>
    <w:p w:rsidR="00142A69" w:rsidRDefault="00142A69" w:rsidP="00E73F96">
      <w:pPr>
        <w:pStyle w:val="BodyText"/>
        <w:rPr>
          <w:lang w:val="en-US"/>
        </w:rPr>
      </w:pPr>
      <w:r>
        <w:rPr>
          <w:lang w:val="en-US"/>
        </w:rPr>
        <w:t>Rather than</w:t>
      </w:r>
      <w:r w:rsidR="00200DAF">
        <w:rPr>
          <w:lang w:val="en-US"/>
        </w:rPr>
        <w:t xml:space="preserve"> fearing the exploration of the future, stakeholders should embrace the uncertainty</w:t>
      </w:r>
      <w:r w:rsidR="00C13514">
        <w:rPr>
          <w:lang w:val="en-US"/>
        </w:rPr>
        <w:t>,</w:t>
      </w:r>
      <w:r w:rsidR="00200DAF">
        <w:rPr>
          <w:lang w:val="en-US"/>
        </w:rPr>
        <w:t xml:space="preserve"> and use the power and speed of contemporary simulation models to test concepts, </w:t>
      </w:r>
      <w:r w:rsidR="001712FB">
        <w:rPr>
          <w:lang w:val="en-US"/>
        </w:rPr>
        <w:t xml:space="preserve">conduct sensitivity analyses, </w:t>
      </w:r>
      <w:r w:rsidR="00200DAF">
        <w:rPr>
          <w:lang w:val="en-US"/>
        </w:rPr>
        <w:t>challenge dogmas, and seek those elements of systems that have high impact and high uncertainty – for it is</w:t>
      </w:r>
      <w:r w:rsidR="00C13514">
        <w:rPr>
          <w:lang w:val="en-US"/>
        </w:rPr>
        <w:t xml:space="preserve"> to</w:t>
      </w:r>
      <w:r w:rsidR="00200DAF">
        <w:rPr>
          <w:lang w:val="en-US"/>
        </w:rPr>
        <w:t xml:space="preserve"> those components that we wish to direct our inquiries and research effort and dollars.</w:t>
      </w:r>
    </w:p>
    <w:p w:rsidR="00905BAF" w:rsidRDefault="001712FB" w:rsidP="001712FB">
      <w:pPr>
        <w:pStyle w:val="Heading3"/>
      </w:pPr>
      <w:bookmarkStart w:id="326" w:name="_Toc338703724"/>
      <w:r>
        <w:t xml:space="preserve">Different Types of Future </w:t>
      </w:r>
      <w:r w:rsidR="00905BAF">
        <w:t>Scenarios</w:t>
      </w:r>
      <w:bookmarkEnd w:id="326"/>
    </w:p>
    <w:p w:rsidR="00915A64" w:rsidRDefault="00915A64" w:rsidP="00915A64">
      <w:pPr>
        <w:pStyle w:val="BodyText"/>
        <w:rPr>
          <w:lang w:val="en-US"/>
        </w:rPr>
      </w:pPr>
      <w:r>
        <w:rPr>
          <w:lang w:val="en-US"/>
        </w:rPr>
        <w:t xml:space="preserve">For the purposes of this project, RNV implicitly internalizes the presence of CLFN and their traditional activities. As such, there is no analytical method for separating the RNV simulated fire regime from that which occurred prior to the arrival of CLFN. For the </w:t>
      </w:r>
      <w:r w:rsidR="0044101A">
        <w:rPr>
          <w:lang w:val="en-US"/>
        </w:rPr>
        <w:t xml:space="preserve">purposes of this project, CLFN ancestors are </w:t>
      </w:r>
      <w:r>
        <w:rPr>
          <w:lang w:val="en-US"/>
        </w:rPr>
        <w:t>considered to arrive in the CLFN SA at the time of glacial ice recession and to continuously inhabit the region throughout the full simulation length. All simulations were conducted in Monte Carlo mode to allow the CFN ALCES model to display inherent variation in meteorology, fire, and plant community dynamics.</w:t>
      </w:r>
    </w:p>
    <w:p w:rsidR="006322A2" w:rsidRDefault="006322A2" w:rsidP="00020D2A">
      <w:pPr>
        <w:pStyle w:val="BodyText"/>
        <w:rPr>
          <w:lang w:val="en-US"/>
        </w:rPr>
      </w:pPr>
      <w:r>
        <w:rPr>
          <w:lang w:val="en-US"/>
        </w:rPr>
        <w:t xml:space="preserve">The CLFN ALCES model has been designed </w:t>
      </w:r>
      <w:r w:rsidR="0037379A">
        <w:rPr>
          <w:lang w:val="en-US"/>
        </w:rPr>
        <w:t xml:space="preserve">and attributed </w:t>
      </w:r>
      <w:r>
        <w:rPr>
          <w:lang w:val="en-US"/>
        </w:rPr>
        <w:t xml:space="preserve">to allow stakeholders to rapidly explore the consequences of alternative </w:t>
      </w:r>
      <w:r w:rsidR="00C544DE">
        <w:rPr>
          <w:lang w:val="en-US"/>
        </w:rPr>
        <w:t>land-use</w:t>
      </w:r>
      <w:r>
        <w:rPr>
          <w:lang w:val="en-US"/>
        </w:rPr>
        <w:t xml:space="preserve"> “what-if” scenarios that capture alternative strategies that </w:t>
      </w:r>
      <w:r w:rsidR="00905BAF">
        <w:rPr>
          <w:lang w:val="en-US"/>
        </w:rPr>
        <w:t xml:space="preserve">can </w:t>
      </w:r>
      <w:r>
        <w:rPr>
          <w:lang w:val="en-US"/>
        </w:rPr>
        <w:t>include:</w:t>
      </w:r>
    </w:p>
    <w:p w:rsidR="009A7EE0" w:rsidRDefault="009A7EE0" w:rsidP="00200DAF">
      <w:pPr>
        <w:pStyle w:val="BodyText"/>
        <w:numPr>
          <w:ilvl w:val="0"/>
          <w:numId w:val="30"/>
        </w:numPr>
        <w:spacing w:after="120"/>
        <w:ind w:left="714" w:hanging="357"/>
        <w:rPr>
          <w:lang w:val="en-US"/>
        </w:rPr>
      </w:pPr>
      <w:r>
        <w:rPr>
          <w:lang w:val="en-US"/>
        </w:rPr>
        <w:t>Business as Usual</w:t>
      </w:r>
    </w:p>
    <w:p w:rsidR="009A7EE0" w:rsidRDefault="009A7EE0" w:rsidP="00200DAF">
      <w:pPr>
        <w:pStyle w:val="BodyText"/>
        <w:numPr>
          <w:ilvl w:val="0"/>
          <w:numId w:val="30"/>
        </w:numPr>
        <w:spacing w:after="120"/>
        <w:ind w:left="714" w:hanging="357"/>
        <w:rPr>
          <w:lang w:val="en-US"/>
        </w:rPr>
      </w:pPr>
      <w:r>
        <w:rPr>
          <w:lang w:val="en-US"/>
        </w:rPr>
        <w:t xml:space="preserve">Adjusting Pace and Magnitude of </w:t>
      </w:r>
      <w:r w:rsidR="00C544DE">
        <w:rPr>
          <w:lang w:val="en-US"/>
        </w:rPr>
        <w:t>Land-use</w:t>
      </w:r>
      <w:r>
        <w:rPr>
          <w:lang w:val="en-US"/>
        </w:rPr>
        <w:t xml:space="preserve"> Growth</w:t>
      </w:r>
    </w:p>
    <w:p w:rsidR="009A7EE0" w:rsidRDefault="009A7EE0" w:rsidP="00200DAF">
      <w:pPr>
        <w:pStyle w:val="BodyText"/>
        <w:numPr>
          <w:ilvl w:val="0"/>
          <w:numId w:val="30"/>
        </w:numPr>
        <w:spacing w:after="120"/>
        <w:ind w:left="714" w:hanging="357"/>
        <w:rPr>
          <w:lang w:val="en-US"/>
        </w:rPr>
      </w:pPr>
      <w:r>
        <w:rPr>
          <w:lang w:val="en-US"/>
        </w:rPr>
        <w:t>Exploring Best Management Practices</w:t>
      </w:r>
    </w:p>
    <w:p w:rsidR="009A7EE0" w:rsidRDefault="009A7EE0" w:rsidP="00200DAF">
      <w:pPr>
        <w:pStyle w:val="BodyText"/>
        <w:numPr>
          <w:ilvl w:val="0"/>
          <w:numId w:val="30"/>
        </w:numPr>
        <w:spacing w:after="120"/>
        <w:ind w:left="714" w:hanging="357"/>
        <w:rPr>
          <w:lang w:val="en-US"/>
        </w:rPr>
      </w:pPr>
      <w:r>
        <w:rPr>
          <w:lang w:val="en-US"/>
        </w:rPr>
        <w:t>Management by Objective</w:t>
      </w:r>
    </w:p>
    <w:p w:rsidR="009A7EE0" w:rsidRDefault="009A7EE0" w:rsidP="00200DAF">
      <w:pPr>
        <w:pStyle w:val="BodyText"/>
        <w:numPr>
          <w:ilvl w:val="0"/>
          <w:numId w:val="30"/>
        </w:numPr>
        <w:spacing w:after="120"/>
        <w:ind w:left="714" w:hanging="357"/>
        <w:rPr>
          <w:lang w:val="en-US"/>
        </w:rPr>
      </w:pPr>
      <w:r>
        <w:rPr>
          <w:lang w:val="en-US"/>
        </w:rPr>
        <w:t>Adopting Ecological Thresholds</w:t>
      </w:r>
    </w:p>
    <w:p w:rsidR="009A7EE0" w:rsidRDefault="009A7EE0" w:rsidP="00020D2A">
      <w:pPr>
        <w:pStyle w:val="BodyText"/>
        <w:rPr>
          <w:lang w:val="en-US"/>
        </w:rPr>
      </w:pPr>
    </w:p>
    <w:p w:rsidR="00D17C7B" w:rsidRDefault="00D17C7B" w:rsidP="001712FB">
      <w:pPr>
        <w:pStyle w:val="Heading4"/>
      </w:pPr>
      <w:r>
        <w:t>Business as Usual</w:t>
      </w:r>
    </w:p>
    <w:p w:rsidR="00D17C7B" w:rsidRDefault="00D17C7B" w:rsidP="00D17C7B">
      <w:pPr>
        <w:pStyle w:val="BodyText"/>
        <w:spacing w:after="120"/>
        <w:rPr>
          <w:lang w:val="en-US"/>
        </w:rPr>
      </w:pPr>
      <w:r>
        <w:rPr>
          <w:lang w:val="en-US"/>
        </w:rPr>
        <w:t xml:space="preserve">For the purposes of these analyses, the CLFN ALCES simulations were restricted to a “business as usual” scenario. This scenario is best described as a future simulation that complies with known and expected development of all relevant natural disturbance regimes and </w:t>
      </w:r>
      <w:r w:rsidR="00C544DE">
        <w:rPr>
          <w:lang w:val="en-US"/>
        </w:rPr>
        <w:t>land-use</w:t>
      </w:r>
      <w:r>
        <w:rPr>
          <w:lang w:val="en-US"/>
        </w:rPr>
        <w:t xml:space="preserve">s. No major changes in </w:t>
      </w:r>
      <w:r w:rsidR="00C544DE">
        <w:rPr>
          <w:lang w:val="en-US"/>
        </w:rPr>
        <w:t>land-use</w:t>
      </w:r>
      <w:r>
        <w:rPr>
          <w:lang w:val="en-US"/>
        </w:rPr>
        <w:t xml:space="preserve"> policies are implied in this scenario.</w:t>
      </w:r>
    </w:p>
    <w:p w:rsidR="00D17C7B" w:rsidRDefault="00D17C7B" w:rsidP="00D17C7B">
      <w:pPr>
        <w:pStyle w:val="BodyText"/>
        <w:rPr>
          <w:lang w:val="en-US"/>
        </w:rPr>
      </w:pPr>
      <w:r>
        <w:rPr>
          <w:lang w:val="en-US"/>
        </w:rPr>
        <w:lastRenderedPageBreak/>
        <w:t xml:space="preserve">All inputs relating to specific natural disturbance regimes and </w:t>
      </w:r>
      <w:r w:rsidR="00C544DE">
        <w:rPr>
          <w:lang w:val="en-US"/>
        </w:rPr>
        <w:t>land-use</w:t>
      </w:r>
      <w:r>
        <w:rPr>
          <w:lang w:val="en-US"/>
        </w:rPr>
        <w:t xml:space="preserve">s are explicit and can be readily observed by stakeholders using the CLFN ALCES model. It is the goal of this report to provide the reader with a core set of key input assumptions – others can be provided at the request of the ALCES Group. The major architectural structure of the CLFN ALCES </w:t>
      </w:r>
      <w:r w:rsidR="00602D2D">
        <w:rPr>
          <w:lang w:val="en-US"/>
        </w:rPr>
        <w:t xml:space="preserve">simulator </w:t>
      </w:r>
      <w:r>
        <w:rPr>
          <w:lang w:val="en-US"/>
        </w:rPr>
        <w:t>is described in Appendix A.</w:t>
      </w:r>
    </w:p>
    <w:p w:rsidR="00915A64" w:rsidRDefault="00915A64" w:rsidP="005B0617">
      <w:pPr>
        <w:pStyle w:val="BodyText"/>
        <w:rPr>
          <w:lang w:val="en-US"/>
        </w:rPr>
      </w:pPr>
    </w:p>
    <w:p w:rsidR="005B0617" w:rsidRDefault="00602D2D" w:rsidP="00602D2D">
      <w:pPr>
        <w:pStyle w:val="Heading3"/>
      </w:pPr>
      <w:bookmarkStart w:id="327" w:name="_Toc338703725"/>
      <w:r>
        <w:t>Spatial Constraints in Mapper Using Inclusionary Masks</w:t>
      </w:r>
      <w:bookmarkEnd w:id="327"/>
    </w:p>
    <w:p w:rsidR="00602D2D" w:rsidRPr="00602D2D" w:rsidRDefault="00602D2D" w:rsidP="00602D2D">
      <w:pPr>
        <w:pStyle w:val="BodyText"/>
        <w:rPr>
          <w:lang w:val="en-US"/>
        </w:rPr>
      </w:pPr>
      <w:r>
        <w:rPr>
          <w:lang w:val="en-US"/>
        </w:rPr>
        <w:t xml:space="preserve">Placement of all future </w:t>
      </w:r>
      <w:r w:rsidR="00C544DE">
        <w:rPr>
          <w:lang w:val="en-US"/>
        </w:rPr>
        <w:t>land-use</w:t>
      </w:r>
      <w:r>
        <w:rPr>
          <w:lang w:val="en-US"/>
        </w:rPr>
        <w:t xml:space="preserve"> </w:t>
      </w:r>
      <w:proofErr w:type="gramStart"/>
      <w:r>
        <w:rPr>
          <w:lang w:val="en-US"/>
        </w:rPr>
        <w:t>footprint</w:t>
      </w:r>
      <w:proofErr w:type="gramEnd"/>
      <w:r>
        <w:rPr>
          <w:lang w:val="en-US"/>
        </w:rPr>
        <w:t xml:space="preserve"> in Mapper can follow any defined spatial arrangement. Commonly, Mapper uses inclusionary masks to direct footprints to plausible geographies based on a series of relevant rules for each </w:t>
      </w:r>
      <w:r w:rsidR="00C544DE">
        <w:rPr>
          <w:lang w:val="en-US"/>
        </w:rPr>
        <w:t>land-use</w:t>
      </w:r>
      <w:r>
        <w:rPr>
          <w:lang w:val="en-US"/>
        </w:rPr>
        <w:t xml:space="preserve"> sector (crops, livestock, transportation, hydrocarbon, forestry, residential, recreation)</w:t>
      </w:r>
      <w:r w:rsidR="00371171">
        <w:rPr>
          <w:lang w:val="en-US"/>
        </w:rPr>
        <w:t xml:space="preserve">. The spatial inclusionary masks used in the CLFN SA project are illustrated in </w:t>
      </w:r>
      <w:r w:rsidR="00575CA7">
        <w:rPr>
          <w:lang w:val="en-US"/>
        </w:rPr>
        <w:fldChar w:fldCharType="begin"/>
      </w:r>
      <w:r w:rsidR="00371171">
        <w:rPr>
          <w:lang w:val="en-US"/>
        </w:rPr>
        <w:instrText xml:space="preserve"> REF _Ref326144908 \h </w:instrText>
      </w:r>
      <w:r w:rsidR="00575CA7">
        <w:rPr>
          <w:lang w:val="en-US"/>
        </w:rPr>
      </w:r>
      <w:r w:rsidR="00575CA7">
        <w:rPr>
          <w:lang w:val="en-US"/>
        </w:rPr>
        <w:fldChar w:fldCharType="separate"/>
      </w:r>
      <w:r w:rsidR="003648B8">
        <w:t xml:space="preserve">Figure </w:t>
      </w:r>
      <w:r w:rsidR="003648B8">
        <w:rPr>
          <w:noProof/>
        </w:rPr>
        <w:t>117</w:t>
      </w:r>
      <w:r w:rsidR="00575CA7">
        <w:rPr>
          <w:lang w:val="en-US"/>
        </w:rPr>
        <w:fldChar w:fldCharType="end"/>
      </w:r>
      <w:r w:rsidR="00371171">
        <w:rPr>
          <w:lang w:val="en-US"/>
        </w:rPr>
        <w:t>. As such, all future growth that is computed to occur must be spatially constrained within these polygons. The distribution of footprint features within</w:t>
      </w:r>
      <w:r w:rsidR="003241D2">
        <w:rPr>
          <w:lang w:val="en-US"/>
        </w:rPr>
        <w:t xml:space="preserve"> inclusionary masks can be informed by a suite of user-defined controls that allow new features to be concentrated around existing features or dispersed in a random fashion.</w:t>
      </w:r>
    </w:p>
    <w:p w:rsidR="002B1E7A" w:rsidRDefault="00602D2D" w:rsidP="002B1E7A">
      <w:pPr>
        <w:pStyle w:val="BodyText"/>
        <w:keepNext/>
        <w:spacing w:after="0"/>
      </w:pPr>
      <w:r>
        <w:rPr>
          <w:noProof/>
          <w:lang w:val="en-US"/>
        </w:rPr>
        <w:drawing>
          <wp:inline distT="0" distB="0" distL="0" distR="0">
            <wp:extent cx="5486400" cy="4242262"/>
            <wp:effectExtent l="19050" t="19050" r="19050" b="24938"/>
            <wp:docPr id="782" name="Picture 15" descr="C:\Documents and Settings\Brad\Local Settings\Temporary Internet Files\Content.Outlook\Z9YTZ38U\CLFN Masks Formal Report Map May 30-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Brad\Local Settings\Temporary Internet Files\Content.Outlook\Z9YTZ38U\CLFN Masks Formal Report Map May 30-2012.png"/>
                    <pic:cNvPicPr>
                      <a:picLocks noChangeAspect="1" noChangeArrowheads="1"/>
                    </pic:cNvPicPr>
                  </pic:nvPicPr>
                  <pic:blipFill>
                    <a:blip r:embed="rId137" cstate="print"/>
                    <a:srcRect/>
                    <a:stretch>
                      <a:fillRect/>
                    </a:stretch>
                  </pic:blipFill>
                  <pic:spPr bwMode="auto">
                    <a:xfrm>
                      <a:off x="0" y="0"/>
                      <a:ext cx="5486400" cy="4242262"/>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602D2D" w:rsidRDefault="002B1E7A" w:rsidP="002B1E7A">
      <w:pPr>
        <w:pStyle w:val="Caption"/>
        <w:rPr>
          <w:lang w:val="en-US"/>
        </w:rPr>
      </w:pPr>
      <w:bookmarkStart w:id="328" w:name="_Ref326144908"/>
      <w:bookmarkStart w:id="329" w:name="_Toc338703896"/>
      <w:proofErr w:type="gramStart"/>
      <w:r>
        <w:t xml:space="preserve">Figure </w:t>
      </w:r>
      <w:fldSimple w:instr=" SEQ Figure \* ARABIC ">
        <w:r w:rsidR="00A02D22">
          <w:rPr>
            <w:noProof/>
          </w:rPr>
          <w:t>117</w:t>
        </w:r>
      </w:fldSimple>
      <w:bookmarkEnd w:id="328"/>
      <w:r>
        <w:t>.</w:t>
      </w:r>
      <w:proofErr w:type="gramEnd"/>
      <w:r>
        <w:t xml:space="preserve"> Spatial constraint inclusionary maps used for the ALCES simulator for CLFN SA.</w:t>
      </w:r>
      <w:bookmarkEnd w:id="329"/>
    </w:p>
    <w:p w:rsidR="00915A64" w:rsidRDefault="00C544DE" w:rsidP="00194C0B">
      <w:pPr>
        <w:pStyle w:val="Heading1"/>
      </w:pPr>
      <w:bookmarkStart w:id="330" w:name="_Toc338703726"/>
      <w:r>
        <w:lastRenderedPageBreak/>
        <w:t>Land-use</w:t>
      </w:r>
      <w:r w:rsidR="00194C0B">
        <w:t xml:space="preserve"> Assumptions</w:t>
      </w:r>
      <w:bookmarkEnd w:id="330"/>
    </w:p>
    <w:p w:rsidR="00FF20D4" w:rsidRDefault="00FF20D4" w:rsidP="00194C0B">
      <w:pPr>
        <w:pStyle w:val="Heading2"/>
      </w:pPr>
      <w:bookmarkStart w:id="331" w:name="_Toc338703727"/>
      <w:r>
        <w:t xml:space="preserve">General Input Assumptions about Future Growth or Recession of </w:t>
      </w:r>
      <w:r w:rsidR="00C544DE">
        <w:t>Land-use</w:t>
      </w:r>
      <w:bookmarkEnd w:id="331"/>
    </w:p>
    <w:p w:rsidR="000A2C5A" w:rsidRDefault="000A2C5A">
      <w:pPr>
        <w:spacing w:after="200" w:line="276" w:lineRule="auto"/>
        <w:rPr>
          <w:b/>
          <w:bCs/>
          <w:sz w:val="20"/>
          <w:szCs w:val="20"/>
          <w:lang w:eastAsia="en-CA"/>
        </w:rPr>
      </w:pPr>
      <w:r>
        <w:br w:type="page"/>
      </w:r>
    </w:p>
    <w:p w:rsidR="00915A64" w:rsidRDefault="00915A64" w:rsidP="00915A64">
      <w:pPr>
        <w:pStyle w:val="Caption"/>
        <w:keepNext/>
      </w:pPr>
      <w:bookmarkStart w:id="332" w:name="_Toc338703779"/>
      <w:proofErr w:type="gramStart"/>
      <w:r>
        <w:lastRenderedPageBreak/>
        <w:t xml:space="preserve">Table </w:t>
      </w:r>
      <w:r w:rsidR="00575CA7">
        <w:fldChar w:fldCharType="begin"/>
      </w:r>
      <w:r w:rsidR="00D75024">
        <w:instrText xml:space="preserve"> SEQ Table \* ARABIC </w:instrText>
      </w:r>
      <w:r w:rsidR="00575CA7">
        <w:fldChar w:fldCharType="separate"/>
      </w:r>
      <w:r w:rsidR="002B4C72">
        <w:rPr>
          <w:noProof/>
        </w:rPr>
        <w:t>15</w:t>
      </w:r>
      <w:r w:rsidR="00575CA7">
        <w:fldChar w:fldCharType="end"/>
      </w:r>
      <w:r>
        <w:t>.</w:t>
      </w:r>
      <w:proofErr w:type="gramEnd"/>
      <w:r>
        <w:t xml:space="preserve"> </w:t>
      </w:r>
      <w:proofErr w:type="gramStart"/>
      <w:r>
        <w:t>Major assumption defining future simulations in CLFN ALCES.</w:t>
      </w:r>
      <w:bookmarkEnd w:id="332"/>
      <w:proofErr w:type="gramEnd"/>
    </w:p>
    <w:tbl>
      <w:tblPr>
        <w:tblStyle w:val="TableGrid"/>
        <w:tblW w:w="0" w:type="auto"/>
        <w:tblLook w:val="04A0"/>
      </w:tblPr>
      <w:tblGrid>
        <w:gridCol w:w="1526"/>
        <w:gridCol w:w="7330"/>
      </w:tblGrid>
      <w:tr w:rsidR="00915A64" w:rsidTr="00A46FAE">
        <w:tc>
          <w:tcPr>
            <w:tcW w:w="1526" w:type="dxa"/>
          </w:tcPr>
          <w:p w:rsidR="00915A64" w:rsidRPr="00FD1700" w:rsidRDefault="00C544DE" w:rsidP="00A46FAE">
            <w:pPr>
              <w:pStyle w:val="BodyText"/>
              <w:spacing w:after="120"/>
              <w:rPr>
                <w:b/>
                <w:sz w:val="22"/>
                <w:szCs w:val="22"/>
                <w:lang w:val="en-US"/>
              </w:rPr>
            </w:pPr>
            <w:r>
              <w:rPr>
                <w:b/>
                <w:sz w:val="22"/>
                <w:szCs w:val="22"/>
                <w:lang w:val="en-US"/>
              </w:rPr>
              <w:t>Land-use</w:t>
            </w:r>
          </w:p>
        </w:tc>
        <w:tc>
          <w:tcPr>
            <w:tcW w:w="7330" w:type="dxa"/>
          </w:tcPr>
          <w:p w:rsidR="00915A64" w:rsidRPr="00FD1700" w:rsidRDefault="00915A64" w:rsidP="00A46FAE">
            <w:pPr>
              <w:pStyle w:val="BodyText"/>
              <w:spacing w:after="120"/>
              <w:rPr>
                <w:b/>
                <w:sz w:val="22"/>
                <w:szCs w:val="22"/>
                <w:lang w:val="en-US"/>
              </w:rPr>
            </w:pPr>
            <w:r w:rsidRPr="00FD1700">
              <w:rPr>
                <w:b/>
                <w:sz w:val="22"/>
                <w:szCs w:val="22"/>
                <w:lang w:val="en-US"/>
              </w:rPr>
              <w:t xml:space="preserve">Key Assumptions of Specific </w:t>
            </w:r>
            <w:r w:rsidR="00C544DE">
              <w:rPr>
                <w:b/>
                <w:sz w:val="22"/>
                <w:szCs w:val="22"/>
                <w:lang w:val="en-US"/>
              </w:rPr>
              <w:t>Land-use</w:t>
            </w:r>
            <w:r w:rsidRPr="00FD1700">
              <w:rPr>
                <w:b/>
                <w:sz w:val="22"/>
                <w:szCs w:val="22"/>
                <w:lang w:val="en-US"/>
              </w:rPr>
              <w:t>s in Future Era</w:t>
            </w:r>
          </w:p>
        </w:tc>
      </w:tr>
      <w:tr w:rsidR="00915A64" w:rsidTr="00A46FAE">
        <w:tc>
          <w:tcPr>
            <w:tcW w:w="1526" w:type="dxa"/>
            <w:vAlign w:val="center"/>
          </w:tcPr>
          <w:p w:rsidR="00915A64" w:rsidRPr="00FD1700" w:rsidRDefault="00915A64" w:rsidP="00A46FAE">
            <w:pPr>
              <w:pStyle w:val="BodyText"/>
              <w:spacing w:after="120" w:line="200" w:lineRule="exact"/>
              <w:rPr>
                <w:sz w:val="22"/>
                <w:szCs w:val="22"/>
                <w:lang w:val="en-US"/>
              </w:rPr>
            </w:pPr>
            <w:r w:rsidRPr="00FD1700">
              <w:rPr>
                <w:sz w:val="22"/>
                <w:szCs w:val="22"/>
                <w:lang w:val="en-US"/>
              </w:rPr>
              <w:t>Croplands</w:t>
            </w:r>
          </w:p>
        </w:tc>
        <w:tc>
          <w:tcPr>
            <w:tcW w:w="7330" w:type="dxa"/>
          </w:tcPr>
          <w:p w:rsidR="00915A64" w:rsidRPr="00FD1700" w:rsidRDefault="00915A64" w:rsidP="00B24D66">
            <w:pPr>
              <w:pStyle w:val="BodyText"/>
              <w:spacing w:after="120"/>
              <w:rPr>
                <w:sz w:val="22"/>
                <w:szCs w:val="22"/>
                <w:lang w:val="en-US"/>
              </w:rPr>
            </w:pPr>
            <w:r w:rsidRPr="00FD1700">
              <w:rPr>
                <w:sz w:val="22"/>
                <w:szCs w:val="22"/>
                <w:lang w:val="en-US"/>
              </w:rPr>
              <w:t>Croplands continue to expand at rates much slower than historic and cease to e</w:t>
            </w:r>
            <w:r w:rsidR="008F7EFD">
              <w:rPr>
                <w:sz w:val="22"/>
                <w:szCs w:val="22"/>
                <w:lang w:val="en-US"/>
              </w:rPr>
              <w:t>xpand once Class 4</w:t>
            </w:r>
            <w:r>
              <w:rPr>
                <w:sz w:val="22"/>
                <w:szCs w:val="22"/>
                <w:lang w:val="en-US"/>
              </w:rPr>
              <w:t xml:space="preserve"> soils are no</w:t>
            </w:r>
            <w:r w:rsidRPr="00FD1700">
              <w:rPr>
                <w:sz w:val="22"/>
                <w:szCs w:val="22"/>
                <w:lang w:val="en-US"/>
              </w:rPr>
              <w:t xml:space="preserve"> longer available. This pace reflects an expansion of ~240 ha/yr for a period of </w:t>
            </w:r>
            <w:r w:rsidR="00B24D66">
              <w:rPr>
                <w:sz w:val="22"/>
                <w:szCs w:val="22"/>
                <w:lang w:val="en-US"/>
              </w:rPr>
              <w:t>90</w:t>
            </w:r>
            <w:r w:rsidRPr="00FD1700">
              <w:rPr>
                <w:sz w:val="22"/>
                <w:szCs w:val="22"/>
                <w:lang w:val="en-US"/>
              </w:rPr>
              <w:t xml:space="preserve"> years.</w:t>
            </w:r>
          </w:p>
        </w:tc>
      </w:tr>
      <w:tr w:rsidR="00915A64" w:rsidTr="00A46FAE">
        <w:tc>
          <w:tcPr>
            <w:tcW w:w="1526" w:type="dxa"/>
            <w:vAlign w:val="center"/>
          </w:tcPr>
          <w:p w:rsidR="00915A64" w:rsidRPr="00FD1700" w:rsidRDefault="00915A64" w:rsidP="00A46FAE">
            <w:pPr>
              <w:pStyle w:val="BodyText"/>
              <w:spacing w:after="120" w:line="200" w:lineRule="exact"/>
              <w:rPr>
                <w:sz w:val="22"/>
                <w:szCs w:val="22"/>
                <w:lang w:val="en-US"/>
              </w:rPr>
            </w:pPr>
            <w:r w:rsidRPr="00FD1700">
              <w:rPr>
                <w:sz w:val="22"/>
                <w:szCs w:val="22"/>
                <w:lang w:val="en-US"/>
              </w:rPr>
              <w:t>Livestock</w:t>
            </w:r>
          </w:p>
        </w:tc>
        <w:tc>
          <w:tcPr>
            <w:tcW w:w="7330" w:type="dxa"/>
          </w:tcPr>
          <w:p w:rsidR="00915A64" w:rsidRPr="00FD1700" w:rsidRDefault="00915A64" w:rsidP="00A46FAE">
            <w:pPr>
              <w:pStyle w:val="BodyText"/>
              <w:spacing w:after="120"/>
              <w:rPr>
                <w:sz w:val="22"/>
                <w:szCs w:val="22"/>
                <w:lang w:val="en-US"/>
              </w:rPr>
            </w:pPr>
            <w:r w:rsidRPr="00FD1700">
              <w:rPr>
                <w:sz w:val="22"/>
                <w:szCs w:val="22"/>
                <w:lang w:val="en-US"/>
              </w:rPr>
              <w:t>Cattle are the primary livestock species simulated and grow at a rate consistent with increased forage crop production in CLFN SA.</w:t>
            </w:r>
          </w:p>
        </w:tc>
      </w:tr>
      <w:tr w:rsidR="00915A64" w:rsidTr="00A46FAE">
        <w:tc>
          <w:tcPr>
            <w:tcW w:w="1526" w:type="dxa"/>
            <w:vAlign w:val="center"/>
          </w:tcPr>
          <w:p w:rsidR="00915A64" w:rsidRPr="00FD1700" w:rsidRDefault="00915A64" w:rsidP="00A46FAE">
            <w:pPr>
              <w:pStyle w:val="BodyText"/>
              <w:spacing w:after="120" w:line="200" w:lineRule="exact"/>
              <w:rPr>
                <w:sz w:val="22"/>
                <w:szCs w:val="22"/>
                <w:lang w:val="en-US"/>
              </w:rPr>
            </w:pPr>
            <w:r w:rsidRPr="00FD1700">
              <w:rPr>
                <w:sz w:val="22"/>
                <w:szCs w:val="22"/>
                <w:lang w:val="en-US"/>
              </w:rPr>
              <w:t>Settlements</w:t>
            </w:r>
          </w:p>
        </w:tc>
        <w:tc>
          <w:tcPr>
            <w:tcW w:w="7330" w:type="dxa"/>
          </w:tcPr>
          <w:p w:rsidR="00915A64" w:rsidRPr="00FD1700" w:rsidRDefault="00915A64" w:rsidP="00B24D66">
            <w:pPr>
              <w:pStyle w:val="BodyText"/>
              <w:spacing w:after="120"/>
              <w:rPr>
                <w:sz w:val="22"/>
                <w:szCs w:val="22"/>
                <w:lang w:val="en-US"/>
              </w:rPr>
            </w:pPr>
            <w:r w:rsidRPr="00FD1700">
              <w:rPr>
                <w:sz w:val="22"/>
                <w:szCs w:val="22"/>
                <w:lang w:val="en-US"/>
              </w:rPr>
              <w:t xml:space="preserve">Although settlement area has expanded during the past 5 decades at an average annual rate </w:t>
            </w:r>
            <w:r w:rsidR="00B24D66">
              <w:rPr>
                <w:sz w:val="22"/>
                <w:szCs w:val="22"/>
                <w:lang w:val="en-US"/>
              </w:rPr>
              <w:t>gr</w:t>
            </w:r>
            <w:r w:rsidR="000A2C5A">
              <w:rPr>
                <w:sz w:val="22"/>
                <w:szCs w:val="22"/>
                <w:lang w:val="en-US"/>
              </w:rPr>
              <w:t>e</w:t>
            </w:r>
            <w:r w:rsidR="00B24D66">
              <w:rPr>
                <w:sz w:val="22"/>
                <w:szCs w:val="22"/>
                <w:lang w:val="en-US"/>
              </w:rPr>
              <w:t>ater than 6%/</w:t>
            </w:r>
            <w:r w:rsidRPr="00FD1700">
              <w:rPr>
                <w:sz w:val="22"/>
                <w:szCs w:val="22"/>
                <w:lang w:val="en-US"/>
              </w:rPr>
              <w:t>yr, this exponential pace cannot b</w:t>
            </w:r>
            <w:r>
              <w:rPr>
                <w:sz w:val="22"/>
                <w:szCs w:val="22"/>
                <w:lang w:val="en-US"/>
              </w:rPr>
              <w:t>e sustained for an</w:t>
            </w:r>
            <w:r w:rsidRPr="00FD1700">
              <w:rPr>
                <w:sz w:val="22"/>
                <w:szCs w:val="22"/>
                <w:lang w:val="en-US"/>
              </w:rPr>
              <w:t>y</w:t>
            </w:r>
            <w:r>
              <w:rPr>
                <w:sz w:val="22"/>
                <w:szCs w:val="22"/>
                <w:lang w:val="en-US"/>
              </w:rPr>
              <w:t xml:space="preserve"> </w:t>
            </w:r>
            <w:r w:rsidRPr="00FD1700">
              <w:rPr>
                <w:sz w:val="22"/>
                <w:szCs w:val="22"/>
                <w:lang w:val="en-US"/>
              </w:rPr>
              <w:t>substantial period of time in the future. We assume that settlement area will grow by 1.0 %/yr throughout the future simulation era.</w:t>
            </w:r>
          </w:p>
        </w:tc>
      </w:tr>
      <w:tr w:rsidR="00915A64" w:rsidTr="00A46FAE">
        <w:tc>
          <w:tcPr>
            <w:tcW w:w="1526" w:type="dxa"/>
            <w:vAlign w:val="center"/>
          </w:tcPr>
          <w:p w:rsidR="00915A64" w:rsidRPr="00FD1700" w:rsidRDefault="00915A64" w:rsidP="00A46FAE">
            <w:pPr>
              <w:pStyle w:val="BodyText"/>
              <w:spacing w:after="120" w:line="200" w:lineRule="exact"/>
              <w:rPr>
                <w:sz w:val="22"/>
                <w:szCs w:val="22"/>
                <w:lang w:val="en-US"/>
              </w:rPr>
            </w:pPr>
            <w:r w:rsidRPr="00FD1700">
              <w:rPr>
                <w:sz w:val="22"/>
                <w:szCs w:val="22"/>
                <w:lang w:val="en-US"/>
              </w:rPr>
              <w:t>Aboriginal</w:t>
            </w:r>
          </w:p>
          <w:p w:rsidR="00915A64" w:rsidRPr="00FD1700" w:rsidRDefault="00915A64" w:rsidP="00A46FAE">
            <w:pPr>
              <w:pStyle w:val="BodyText"/>
              <w:spacing w:after="120" w:line="200" w:lineRule="exact"/>
              <w:rPr>
                <w:sz w:val="22"/>
                <w:szCs w:val="22"/>
                <w:lang w:val="en-US"/>
              </w:rPr>
            </w:pPr>
            <w:r w:rsidRPr="00FD1700">
              <w:rPr>
                <w:sz w:val="22"/>
                <w:szCs w:val="22"/>
                <w:lang w:val="en-US"/>
              </w:rPr>
              <w:t>Populations</w:t>
            </w:r>
          </w:p>
        </w:tc>
        <w:tc>
          <w:tcPr>
            <w:tcW w:w="7330" w:type="dxa"/>
          </w:tcPr>
          <w:p w:rsidR="00915A64" w:rsidRPr="00FD1700" w:rsidRDefault="00915A64" w:rsidP="00FF3378">
            <w:pPr>
              <w:pStyle w:val="BodyText"/>
              <w:spacing w:after="120"/>
              <w:rPr>
                <w:sz w:val="22"/>
                <w:szCs w:val="22"/>
                <w:lang w:val="en-US"/>
              </w:rPr>
            </w:pPr>
            <w:r w:rsidRPr="00FD1700">
              <w:rPr>
                <w:sz w:val="22"/>
                <w:szCs w:val="22"/>
                <w:lang w:val="en-US"/>
              </w:rPr>
              <w:t xml:space="preserve">CLFN populations are grown at a rate of </w:t>
            </w:r>
            <w:r w:rsidR="00FF3378">
              <w:rPr>
                <w:sz w:val="22"/>
                <w:szCs w:val="22"/>
                <w:lang w:val="en-US"/>
              </w:rPr>
              <w:t>1.5</w:t>
            </w:r>
            <w:r w:rsidRPr="00FD1700">
              <w:rPr>
                <w:sz w:val="22"/>
                <w:szCs w:val="22"/>
                <w:lang w:val="en-US"/>
              </w:rPr>
              <w:t xml:space="preserve"> %/yr</w:t>
            </w:r>
            <w:r w:rsidR="00FF3378">
              <w:rPr>
                <w:sz w:val="22"/>
                <w:szCs w:val="22"/>
                <w:lang w:val="en-US"/>
              </w:rPr>
              <w:t xml:space="preserve"> for the next 50 years</w:t>
            </w:r>
            <w:r w:rsidRPr="00FD1700">
              <w:rPr>
                <w:sz w:val="22"/>
                <w:szCs w:val="22"/>
                <w:lang w:val="en-US"/>
              </w:rPr>
              <w:t xml:space="preserve">, a rate that is consistent with historical growth rates of past five decades. </w:t>
            </w:r>
            <w:r w:rsidR="00FF3378">
              <w:rPr>
                <w:sz w:val="22"/>
                <w:szCs w:val="22"/>
                <w:lang w:val="en-US"/>
              </w:rPr>
              <w:t xml:space="preserve">Growth rates are then reduced to 1%/yr for the duration of the simulation. </w:t>
            </w:r>
            <w:r w:rsidRPr="00FD1700">
              <w:rPr>
                <w:sz w:val="22"/>
                <w:szCs w:val="22"/>
                <w:lang w:val="en-US"/>
              </w:rPr>
              <w:t>Populations reside in combination of towns, rural residential and reserves.</w:t>
            </w:r>
          </w:p>
        </w:tc>
      </w:tr>
      <w:tr w:rsidR="00915A64" w:rsidTr="00A46FAE">
        <w:tc>
          <w:tcPr>
            <w:tcW w:w="1526" w:type="dxa"/>
            <w:vAlign w:val="center"/>
          </w:tcPr>
          <w:p w:rsidR="00915A64" w:rsidRPr="00FD1700" w:rsidRDefault="00915A64" w:rsidP="00A46FAE">
            <w:pPr>
              <w:pStyle w:val="BodyText"/>
              <w:spacing w:after="120" w:line="200" w:lineRule="exact"/>
              <w:rPr>
                <w:sz w:val="22"/>
                <w:szCs w:val="22"/>
                <w:lang w:val="en-US"/>
              </w:rPr>
            </w:pPr>
            <w:r w:rsidRPr="00FD1700">
              <w:rPr>
                <w:sz w:val="22"/>
                <w:szCs w:val="22"/>
                <w:lang w:val="en-US"/>
              </w:rPr>
              <w:t>Non-aboriginal Populations</w:t>
            </w:r>
          </w:p>
        </w:tc>
        <w:tc>
          <w:tcPr>
            <w:tcW w:w="7330" w:type="dxa"/>
          </w:tcPr>
          <w:p w:rsidR="00915A64" w:rsidRPr="00FD1700" w:rsidRDefault="00915A64" w:rsidP="00FF3378">
            <w:pPr>
              <w:pStyle w:val="BodyText"/>
              <w:spacing w:after="120"/>
              <w:rPr>
                <w:sz w:val="22"/>
                <w:szCs w:val="22"/>
                <w:lang w:val="en-US"/>
              </w:rPr>
            </w:pPr>
            <w:r w:rsidRPr="00FD1700">
              <w:rPr>
                <w:sz w:val="22"/>
                <w:szCs w:val="22"/>
                <w:lang w:val="en-US"/>
              </w:rPr>
              <w:t xml:space="preserve">Non-aboriginal populations are grown at a rate of </w:t>
            </w:r>
            <w:r w:rsidR="00FF3378">
              <w:rPr>
                <w:sz w:val="22"/>
                <w:szCs w:val="22"/>
                <w:lang w:val="en-US"/>
              </w:rPr>
              <w:t>1.5</w:t>
            </w:r>
            <w:r w:rsidRPr="00FD1700">
              <w:rPr>
                <w:sz w:val="22"/>
                <w:szCs w:val="22"/>
                <w:lang w:val="en-US"/>
              </w:rPr>
              <w:t xml:space="preserve"> %/yr, a rate that is consistent with historical growth rates of past five decades. </w:t>
            </w:r>
            <w:r w:rsidR="00FF3378">
              <w:rPr>
                <w:sz w:val="22"/>
                <w:szCs w:val="22"/>
                <w:lang w:val="en-US"/>
              </w:rPr>
              <w:t xml:space="preserve">Growth rates are then reduced to 1%/yr for the duration of the simulation. </w:t>
            </w:r>
            <w:r w:rsidRPr="00FD1700">
              <w:rPr>
                <w:sz w:val="22"/>
                <w:szCs w:val="22"/>
                <w:lang w:val="en-US"/>
              </w:rPr>
              <w:t>Populations reside in combinations of towns and rural residences (acreages)</w:t>
            </w:r>
          </w:p>
        </w:tc>
      </w:tr>
      <w:tr w:rsidR="00915A64" w:rsidTr="00A46FAE">
        <w:tc>
          <w:tcPr>
            <w:tcW w:w="1526" w:type="dxa"/>
            <w:vAlign w:val="center"/>
          </w:tcPr>
          <w:p w:rsidR="00915A64" w:rsidRPr="00FD1700" w:rsidRDefault="00915A64" w:rsidP="00A46FAE">
            <w:pPr>
              <w:pStyle w:val="BodyText"/>
              <w:spacing w:after="120" w:line="200" w:lineRule="exact"/>
              <w:rPr>
                <w:sz w:val="22"/>
                <w:szCs w:val="22"/>
                <w:lang w:val="en-US"/>
              </w:rPr>
            </w:pPr>
            <w:r w:rsidRPr="00FD1700">
              <w:rPr>
                <w:sz w:val="22"/>
                <w:szCs w:val="22"/>
                <w:lang w:val="en-US"/>
              </w:rPr>
              <w:t>Forestry</w:t>
            </w:r>
          </w:p>
        </w:tc>
        <w:tc>
          <w:tcPr>
            <w:tcW w:w="7330" w:type="dxa"/>
          </w:tcPr>
          <w:p w:rsidR="00915A64" w:rsidRPr="00FD1700" w:rsidRDefault="00915A64" w:rsidP="00A46FAE">
            <w:pPr>
              <w:pStyle w:val="BodyText"/>
              <w:spacing w:after="120"/>
              <w:rPr>
                <w:sz w:val="22"/>
                <w:szCs w:val="22"/>
                <w:lang w:val="en-US"/>
              </w:rPr>
            </w:pPr>
            <w:r w:rsidRPr="00FD1700">
              <w:rPr>
                <w:sz w:val="22"/>
                <w:szCs w:val="22"/>
                <w:lang w:val="en-US"/>
              </w:rPr>
              <w:t xml:space="preserve">Logging absent as a large scale </w:t>
            </w:r>
            <w:r w:rsidR="00C544DE">
              <w:rPr>
                <w:sz w:val="22"/>
                <w:szCs w:val="22"/>
                <w:lang w:val="en-US"/>
              </w:rPr>
              <w:t>land-use</w:t>
            </w:r>
            <w:r w:rsidRPr="00FD1700">
              <w:rPr>
                <w:sz w:val="22"/>
                <w:szCs w:val="22"/>
                <w:lang w:val="en-US"/>
              </w:rPr>
              <w:t xml:space="preserve"> and only occurs to the extent required for salvaging merchantable grade wood associated with the footprint of the hydrocarbon sector.</w:t>
            </w:r>
          </w:p>
        </w:tc>
      </w:tr>
      <w:tr w:rsidR="00915A64" w:rsidTr="00A46FAE">
        <w:tc>
          <w:tcPr>
            <w:tcW w:w="1526" w:type="dxa"/>
            <w:vAlign w:val="center"/>
          </w:tcPr>
          <w:p w:rsidR="00915A64" w:rsidRPr="00FD1700" w:rsidRDefault="00915A64" w:rsidP="00A46FAE">
            <w:pPr>
              <w:pStyle w:val="BodyText"/>
              <w:spacing w:after="120" w:line="200" w:lineRule="exact"/>
              <w:rPr>
                <w:sz w:val="22"/>
                <w:szCs w:val="22"/>
                <w:lang w:val="en-US"/>
              </w:rPr>
            </w:pPr>
            <w:r w:rsidRPr="00FD1700">
              <w:rPr>
                <w:sz w:val="22"/>
                <w:szCs w:val="22"/>
                <w:lang w:val="en-US"/>
              </w:rPr>
              <w:t>Military</w:t>
            </w:r>
          </w:p>
        </w:tc>
        <w:tc>
          <w:tcPr>
            <w:tcW w:w="7330" w:type="dxa"/>
          </w:tcPr>
          <w:p w:rsidR="00915A64" w:rsidRPr="00FD1700" w:rsidRDefault="00915A64" w:rsidP="00A46FAE">
            <w:pPr>
              <w:pStyle w:val="BodyText"/>
              <w:spacing w:after="120"/>
              <w:rPr>
                <w:sz w:val="22"/>
                <w:szCs w:val="22"/>
                <w:lang w:val="en-US"/>
              </w:rPr>
            </w:pPr>
            <w:r w:rsidRPr="00FD1700">
              <w:rPr>
                <w:sz w:val="22"/>
                <w:szCs w:val="22"/>
                <w:lang w:val="en-US"/>
              </w:rPr>
              <w:t>CLAWR persists in the future and maintains similar access restrictions as imposed currently</w:t>
            </w:r>
          </w:p>
        </w:tc>
      </w:tr>
      <w:tr w:rsidR="00915A64" w:rsidTr="00A46FAE">
        <w:tc>
          <w:tcPr>
            <w:tcW w:w="1526" w:type="dxa"/>
            <w:vAlign w:val="center"/>
          </w:tcPr>
          <w:p w:rsidR="00915A64" w:rsidRPr="00FD1700" w:rsidRDefault="00915A64" w:rsidP="00A46FAE">
            <w:pPr>
              <w:pStyle w:val="BodyText"/>
              <w:spacing w:after="120" w:line="200" w:lineRule="exact"/>
              <w:rPr>
                <w:sz w:val="22"/>
                <w:szCs w:val="22"/>
                <w:lang w:val="en-US"/>
              </w:rPr>
            </w:pPr>
            <w:r w:rsidRPr="00FD1700">
              <w:rPr>
                <w:sz w:val="22"/>
                <w:szCs w:val="22"/>
                <w:lang w:val="en-US"/>
              </w:rPr>
              <w:t>Parks</w:t>
            </w:r>
          </w:p>
        </w:tc>
        <w:tc>
          <w:tcPr>
            <w:tcW w:w="7330" w:type="dxa"/>
          </w:tcPr>
          <w:p w:rsidR="00915A64" w:rsidRPr="00FD1700" w:rsidRDefault="00915A64" w:rsidP="00A46FAE">
            <w:pPr>
              <w:pStyle w:val="BodyText"/>
              <w:spacing w:after="120"/>
              <w:rPr>
                <w:sz w:val="22"/>
                <w:szCs w:val="22"/>
                <w:lang w:val="en-US"/>
              </w:rPr>
            </w:pPr>
            <w:r w:rsidRPr="00FD1700">
              <w:rPr>
                <w:sz w:val="22"/>
                <w:szCs w:val="22"/>
                <w:lang w:val="en-US"/>
              </w:rPr>
              <w:t xml:space="preserve">Current matrix of parks </w:t>
            </w:r>
            <w:r w:rsidR="00795B86" w:rsidRPr="00FD1700">
              <w:rPr>
                <w:sz w:val="22"/>
                <w:szCs w:val="22"/>
                <w:lang w:val="en-US"/>
              </w:rPr>
              <w:t>neither increases nor</w:t>
            </w:r>
            <w:r w:rsidRPr="00FD1700">
              <w:rPr>
                <w:sz w:val="22"/>
                <w:szCs w:val="22"/>
                <w:lang w:val="en-US"/>
              </w:rPr>
              <w:t xml:space="preserve"> decreases in size.</w:t>
            </w:r>
          </w:p>
        </w:tc>
      </w:tr>
      <w:tr w:rsidR="00915A64" w:rsidTr="00A46FAE">
        <w:tc>
          <w:tcPr>
            <w:tcW w:w="1526" w:type="dxa"/>
            <w:vAlign w:val="center"/>
          </w:tcPr>
          <w:p w:rsidR="00915A64" w:rsidRPr="00FD1700" w:rsidRDefault="00915A64" w:rsidP="00A46FAE">
            <w:pPr>
              <w:pStyle w:val="BodyText"/>
              <w:spacing w:after="120" w:line="200" w:lineRule="exact"/>
              <w:rPr>
                <w:sz w:val="22"/>
                <w:szCs w:val="22"/>
                <w:lang w:val="en-US"/>
              </w:rPr>
            </w:pPr>
            <w:r w:rsidRPr="00FD1700">
              <w:rPr>
                <w:sz w:val="22"/>
                <w:szCs w:val="22"/>
                <w:lang w:val="en-US"/>
              </w:rPr>
              <w:t>Natural Gas</w:t>
            </w:r>
          </w:p>
        </w:tc>
        <w:tc>
          <w:tcPr>
            <w:tcW w:w="7330" w:type="dxa"/>
          </w:tcPr>
          <w:p w:rsidR="00915A64" w:rsidRPr="00FD1700" w:rsidRDefault="00915A64" w:rsidP="00A46FAE">
            <w:pPr>
              <w:pStyle w:val="BodyText"/>
              <w:spacing w:after="120"/>
              <w:rPr>
                <w:sz w:val="22"/>
                <w:szCs w:val="22"/>
                <w:lang w:val="en-US"/>
              </w:rPr>
            </w:pPr>
            <w:r w:rsidRPr="00FD1700">
              <w:rPr>
                <w:sz w:val="22"/>
                <w:szCs w:val="22"/>
                <w:lang w:val="en-US"/>
              </w:rPr>
              <w:t>No additional footprint (wellpads, seismic lines, pipelines) are constructed. Any natural gas that is produced as a secondary commodity of a different hydrocarbon type and is flared.</w:t>
            </w:r>
          </w:p>
        </w:tc>
      </w:tr>
      <w:tr w:rsidR="00915A64" w:rsidTr="00A46FAE">
        <w:tc>
          <w:tcPr>
            <w:tcW w:w="1526" w:type="dxa"/>
            <w:vAlign w:val="center"/>
          </w:tcPr>
          <w:p w:rsidR="00915A64" w:rsidRPr="00FD1700" w:rsidRDefault="00915A64" w:rsidP="00A46FAE">
            <w:pPr>
              <w:pStyle w:val="BodyText"/>
              <w:spacing w:after="120" w:line="200" w:lineRule="exact"/>
              <w:rPr>
                <w:sz w:val="22"/>
                <w:szCs w:val="22"/>
                <w:lang w:val="en-US"/>
              </w:rPr>
            </w:pPr>
            <w:r w:rsidRPr="00FD1700">
              <w:rPr>
                <w:sz w:val="22"/>
                <w:szCs w:val="22"/>
                <w:lang w:val="en-US"/>
              </w:rPr>
              <w:t>Heavy Oil</w:t>
            </w:r>
          </w:p>
        </w:tc>
        <w:tc>
          <w:tcPr>
            <w:tcW w:w="7330" w:type="dxa"/>
          </w:tcPr>
          <w:p w:rsidR="00915A64" w:rsidRPr="00FD1700" w:rsidRDefault="00915A64" w:rsidP="00795B86">
            <w:pPr>
              <w:pStyle w:val="BodyText"/>
              <w:spacing w:after="120"/>
              <w:rPr>
                <w:sz w:val="22"/>
                <w:szCs w:val="22"/>
                <w:lang w:val="en-US"/>
              </w:rPr>
            </w:pPr>
            <w:r w:rsidRPr="00FD1700">
              <w:rPr>
                <w:sz w:val="22"/>
                <w:szCs w:val="22"/>
                <w:lang w:val="en-US"/>
              </w:rPr>
              <w:t xml:space="preserve">Of the estimated </w:t>
            </w:r>
            <w:r w:rsidR="00795B86">
              <w:rPr>
                <w:sz w:val="22"/>
                <w:szCs w:val="22"/>
                <w:lang w:val="en-US"/>
              </w:rPr>
              <w:t>10.25 B</w:t>
            </w:r>
            <w:r w:rsidRPr="00FD1700">
              <w:rPr>
                <w:sz w:val="22"/>
                <w:szCs w:val="22"/>
                <w:lang w:val="en-US"/>
              </w:rPr>
              <w:t xml:space="preserve"> m</w:t>
            </w:r>
            <w:r w:rsidRPr="00694277">
              <w:rPr>
                <w:vertAlign w:val="superscript"/>
                <w:lang w:val="en-US"/>
              </w:rPr>
              <w:t>3</w:t>
            </w:r>
            <w:r w:rsidRPr="00FD1700">
              <w:rPr>
                <w:sz w:val="22"/>
                <w:szCs w:val="22"/>
                <w:lang w:val="en-US"/>
              </w:rPr>
              <w:t xml:space="preserve"> of heavy oil considered to be in place, </w:t>
            </w:r>
            <w:r w:rsidR="00795B86">
              <w:rPr>
                <w:sz w:val="22"/>
                <w:szCs w:val="22"/>
                <w:lang w:val="en-US"/>
              </w:rPr>
              <w:t>0.51 B m3 (5%)</w:t>
            </w:r>
            <w:r w:rsidRPr="00FD1700">
              <w:rPr>
                <w:sz w:val="22"/>
                <w:szCs w:val="22"/>
                <w:lang w:val="en-US"/>
              </w:rPr>
              <w:t xml:space="preserve"> is estimated to be recoverable using primary extraction technologies. Future footprint metrics of heavy oil production are those currently defining the heavy oil industry in CLFN SA.</w:t>
            </w:r>
          </w:p>
        </w:tc>
      </w:tr>
      <w:tr w:rsidR="00915A64" w:rsidTr="00A46FAE">
        <w:tc>
          <w:tcPr>
            <w:tcW w:w="1526" w:type="dxa"/>
            <w:vAlign w:val="center"/>
          </w:tcPr>
          <w:p w:rsidR="00915A64" w:rsidRPr="00FD1700" w:rsidRDefault="00915A64" w:rsidP="00A46FAE">
            <w:pPr>
              <w:pStyle w:val="BodyText"/>
              <w:spacing w:after="120" w:line="200" w:lineRule="exact"/>
              <w:rPr>
                <w:sz w:val="22"/>
                <w:szCs w:val="22"/>
                <w:lang w:val="en-US"/>
              </w:rPr>
            </w:pPr>
            <w:r w:rsidRPr="00FD1700">
              <w:rPr>
                <w:sz w:val="22"/>
                <w:szCs w:val="22"/>
                <w:lang w:val="en-US"/>
              </w:rPr>
              <w:t>CSS Bitumen</w:t>
            </w:r>
          </w:p>
        </w:tc>
        <w:tc>
          <w:tcPr>
            <w:tcW w:w="7330" w:type="dxa"/>
          </w:tcPr>
          <w:p w:rsidR="00915A64" w:rsidRPr="00FD1700" w:rsidRDefault="00795B86" w:rsidP="00A46FAE">
            <w:pPr>
              <w:pStyle w:val="BodyText"/>
              <w:spacing w:after="120"/>
              <w:rPr>
                <w:sz w:val="22"/>
                <w:szCs w:val="22"/>
                <w:lang w:val="en-US"/>
              </w:rPr>
            </w:pPr>
            <w:r>
              <w:rPr>
                <w:sz w:val="22"/>
                <w:szCs w:val="22"/>
                <w:lang w:val="en-US"/>
              </w:rPr>
              <w:t>Of the estimated 14.39 B</w:t>
            </w:r>
            <w:r w:rsidR="00915A64" w:rsidRPr="00FD1700">
              <w:rPr>
                <w:sz w:val="22"/>
                <w:szCs w:val="22"/>
                <w:lang w:val="en-US"/>
              </w:rPr>
              <w:t xml:space="preserve"> m</w:t>
            </w:r>
            <w:r w:rsidR="00915A64" w:rsidRPr="00694277">
              <w:rPr>
                <w:vertAlign w:val="superscript"/>
                <w:lang w:val="en-US"/>
              </w:rPr>
              <w:t>3</w:t>
            </w:r>
            <w:r w:rsidR="00915A64" w:rsidRPr="00FD1700">
              <w:rPr>
                <w:sz w:val="22"/>
                <w:szCs w:val="22"/>
                <w:lang w:val="en-US"/>
              </w:rPr>
              <w:t xml:space="preserve"> of bitumen considered to be in place, </w:t>
            </w:r>
            <w:r>
              <w:rPr>
                <w:sz w:val="22"/>
                <w:szCs w:val="22"/>
                <w:lang w:val="en-US"/>
              </w:rPr>
              <w:t>3.6 B (25</w:t>
            </w:r>
            <w:r w:rsidR="00915A64" w:rsidRPr="00FD1700">
              <w:rPr>
                <w:sz w:val="22"/>
                <w:szCs w:val="22"/>
                <w:lang w:val="en-US"/>
              </w:rPr>
              <w:t xml:space="preserve">% is estimated to be recoverable using CSS extraction technologies. Future footprint (seismic lines, wellpads, </w:t>
            </w:r>
            <w:proofErr w:type="gramStart"/>
            <w:r w:rsidR="00915A64" w:rsidRPr="00FD1700">
              <w:rPr>
                <w:sz w:val="22"/>
                <w:szCs w:val="22"/>
                <w:lang w:val="en-US"/>
              </w:rPr>
              <w:t>pipelines</w:t>
            </w:r>
            <w:proofErr w:type="gramEnd"/>
            <w:r w:rsidR="00915A64" w:rsidRPr="00FD1700">
              <w:rPr>
                <w:sz w:val="22"/>
                <w:szCs w:val="22"/>
                <w:lang w:val="en-US"/>
              </w:rPr>
              <w:t>) metrics of CSS production are those currently defining the CSS industry in CLFN SA.</w:t>
            </w:r>
          </w:p>
        </w:tc>
      </w:tr>
      <w:tr w:rsidR="00915A64" w:rsidTr="00A46FAE">
        <w:tc>
          <w:tcPr>
            <w:tcW w:w="1526" w:type="dxa"/>
            <w:vAlign w:val="center"/>
          </w:tcPr>
          <w:p w:rsidR="00915A64" w:rsidRPr="00FD1700" w:rsidRDefault="00915A64" w:rsidP="00A46FAE">
            <w:pPr>
              <w:pStyle w:val="BodyText"/>
              <w:spacing w:after="120" w:line="200" w:lineRule="exact"/>
              <w:rPr>
                <w:sz w:val="22"/>
                <w:szCs w:val="22"/>
                <w:lang w:val="en-US"/>
              </w:rPr>
            </w:pPr>
            <w:r w:rsidRPr="00FD1700">
              <w:rPr>
                <w:sz w:val="22"/>
                <w:szCs w:val="22"/>
                <w:lang w:val="en-US"/>
              </w:rPr>
              <w:t>SAGD Bitumen</w:t>
            </w:r>
          </w:p>
        </w:tc>
        <w:tc>
          <w:tcPr>
            <w:tcW w:w="7330" w:type="dxa"/>
          </w:tcPr>
          <w:p w:rsidR="00915A64" w:rsidRPr="00FD1700" w:rsidRDefault="00795B86" w:rsidP="00795B86">
            <w:pPr>
              <w:pStyle w:val="BodyText"/>
              <w:spacing w:after="120"/>
              <w:rPr>
                <w:sz w:val="22"/>
                <w:szCs w:val="22"/>
                <w:lang w:val="en-US"/>
              </w:rPr>
            </w:pPr>
            <w:r>
              <w:rPr>
                <w:sz w:val="22"/>
                <w:szCs w:val="22"/>
                <w:lang w:val="en-US"/>
              </w:rPr>
              <w:t>Of the e</w:t>
            </w:r>
            <w:r w:rsidR="004649CF">
              <w:rPr>
                <w:sz w:val="22"/>
                <w:szCs w:val="22"/>
                <w:lang w:val="en-US"/>
              </w:rPr>
              <w:t>stimated 4.44</w:t>
            </w:r>
            <w:r>
              <w:rPr>
                <w:sz w:val="22"/>
                <w:szCs w:val="22"/>
                <w:lang w:val="en-US"/>
              </w:rPr>
              <w:t xml:space="preserve"> B</w:t>
            </w:r>
            <w:r w:rsidR="00915A64" w:rsidRPr="00FD1700">
              <w:rPr>
                <w:sz w:val="22"/>
                <w:szCs w:val="22"/>
                <w:lang w:val="en-US"/>
              </w:rPr>
              <w:t xml:space="preserve"> m</w:t>
            </w:r>
            <w:r w:rsidR="00915A64" w:rsidRPr="00694277">
              <w:rPr>
                <w:vertAlign w:val="superscript"/>
                <w:lang w:val="en-US"/>
              </w:rPr>
              <w:t>3</w:t>
            </w:r>
            <w:r w:rsidR="00915A64" w:rsidRPr="00FD1700">
              <w:rPr>
                <w:sz w:val="22"/>
                <w:szCs w:val="22"/>
                <w:lang w:val="en-US"/>
              </w:rPr>
              <w:t xml:space="preserve"> of bitumen considered to be in place, </w:t>
            </w:r>
            <w:r>
              <w:rPr>
                <w:sz w:val="22"/>
                <w:szCs w:val="22"/>
                <w:lang w:val="en-US"/>
              </w:rPr>
              <w:t>2.22 B m</w:t>
            </w:r>
            <w:r w:rsidRPr="00694277">
              <w:rPr>
                <w:vertAlign w:val="superscript"/>
                <w:lang w:val="en-US"/>
              </w:rPr>
              <w:t>3</w:t>
            </w:r>
            <w:r>
              <w:rPr>
                <w:sz w:val="22"/>
                <w:szCs w:val="22"/>
                <w:lang w:val="en-US"/>
              </w:rPr>
              <w:t xml:space="preserve"> (50%) </w:t>
            </w:r>
            <w:r w:rsidR="00915A64" w:rsidRPr="00FD1700">
              <w:rPr>
                <w:sz w:val="22"/>
                <w:szCs w:val="22"/>
                <w:lang w:val="en-US"/>
              </w:rPr>
              <w:t xml:space="preserve">is estimated to be recoverable using SAGD extraction technologies. Future footprint (seismic lines, wellpads, </w:t>
            </w:r>
            <w:proofErr w:type="gramStart"/>
            <w:r w:rsidR="00915A64" w:rsidRPr="00FD1700">
              <w:rPr>
                <w:sz w:val="22"/>
                <w:szCs w:val="22"/>
                <w:lang w:val="en-US"/>
              </w:rPr>
              <w:t>pipelines</w:t>
            </w:r>
            <w:proofErr w:type="gramEnd"/>
            <w:r w:rsidR="00915A64" w:rsidRPr="00FD1700">
              <w:rPr>
                <w:sz w:val="22"/>
                <w:szCs w:val="22"/>
                <w:lang w:val="en-US"/>
              </w:rPr>
              <w:t>) metrics of CSS production are those currently defining the SAGD industry in CLFN SA.</w:t>
            </w:r>
          </w:p>
        </w:tc>
      </w:tr>
      <w:tr w:rsidR="00915A64" w:rsidTr="00A46FAE">
        <w:tc>
          <w:tcPr>
            <w:tcW w:w="1526" w:type="dxa"/>
            <w:vAlign w:val="center"/>
          </w:tcPr>
          <w:p w:rsidR="00915A64" w:rsidRPr="00FD1700" w:rsidRDefault="00915A64" w:rsidP="00A46FAE">
            <w:pPr>
              <w:pStyle w:val="BodyText"/>
              <w:spacing w:after="120" w:line="200" w:lineRule="exact"/>
              <w:rPr>
                <w:sz w:val="22"/>
                <w:szCs w:val="22"/>
                <w:lang w:val="en-US"/>
              </w:rPr>
            </w:pPr>
            <w:r w:rsidRPr="00FD1700">
              <w:rPr>
                <w:sz w:val="22"/>
                <w:szCs w:val="22"/>
                <w:lang w:val="en-US"/>
              </w:rPr>
              <w:t>Transportation</w:t>
            </w:r>
          </w:p>
        </w:tc>
        <w:tc>
          <w:tcPr>
            <w:tcW w:w="7330" w:type="dxa"/>
          </w:tcPr>
          <w:p w:rsidR="00915A64" w:rsidRPr="00FD1700" w:rsidRDefault="00915A64" w:rsidP="00A46FAE">
            <w:pPr>
              <w:pStyle w:val="BodyText"/>
              <w:spacing w:after="120"/>
              <w:rPr>
                <w:sz w:val="22"/>
                <w:szCs w:val="22"/>
                <w:lang w:val="en-US"/>
              </w:rPr>
            </w:pPr>
            <w:r>
              <w:rPr>
                <w:sz w:val="22"/>
                <w:szCs w:val="22"/>
                <w:lang w:val="en-US"/>
              </w:rPr>
              <w:t xml:space="preserve">Public road network </w:t>
            </w:r>
            <w:r w:rsidR="00FF455E">
              <w:rPr>
                <w:sz w:val="22"/>
                <w:szCs w:val="22"/>
                <w:lang w:val="en-US"/>
              </w:rPr>
              <w:t>neither increases nor</w:t>
            </w:r>
            <w:r>
              <w:rPr>
                <w:sz w:val="22"/>
                <w:szCs w:val="22"/>
                <w:lang w:val="en-US"/>
              </w:rPr>
              <w:t xml:space="preserve"> decreases but roads associated with rural residential and wellsites are constructed and remain permanent features</w:t>
            </w:r>
            <w:r w:rsidR="00C13514">
              <w:rPr>
                <w:sz w:val="22"/>
                <w:szCs w:val="22"/>
                <w:lang w:val="en-US"/>
              </w:rPr>
              <w:t>.</w:t>
            </w:r>
          </w:p>
        </w:tc>
      </w:tr>
    </w:tbl>
    <w:p w:rsidR="00915A64" w:rsidRDefault="00915A64" w:rsidP="00915A64">
      <w:pPr>
        <w:pStyle w:val="BodyText"/>
        <w:spacing w:after="120"/>
        <w:rPr>
          <w:lang w:val="en-US"/>
        </w:rPr>
      </w:pPr>
    </w:p>
    <w:p w:rsidR="006469D5" w:rsidRDefault="00FF20D4" w:rsidP="00194C0B">
      <w:pPr>
        <w:pStyle w:val="Heading2"/>
      </w:pPr>
      <w:bookmarkStart w:id="333" w:name="_Toc338703728"/>
      <w:r>
        <w:lastRenderedPageBreak/>
        <w:t xml:space="preserve">Specific Input Assumptions about Future </w:t>
      </w:r>
      <w:r w:rsidR="00C544DE">
        <w:t>Land-use</w:t>
      </w:r>
      <w:r>
        <w:t xml:space="preserve"> Scenario</w:t>
      </w:r>
      <w:bookmarkEnd w:id="333"/>
    </w:p>
    <w:p w:rsidR="00FC243E" w:rsidRDefault="00DA6585" w:rsidP="00FC243E">
      <w:pPr>
        <w:pStyle w:val="Heading3"/>
      </w:pPr>
      <w:bookmarkStart w:id="334" w:name="_Toc338703729"/>
      <w:r>
        <w:t>First Nations</w:t>
      </w:r>
      <w:r w:rsidR="00C80A97">
        <w:t xml:space="preserve"> and </w:t>
      </w:r>
      <w:r w:rsidR="00FC243E">
        <w:t xml:space="preserve">Their </w:t>
      </w:r>
      <w:r w:rsidR="00C80A97">
        <w:t>Settlements</w:t>
      </w:r>
      <w:bookmarkEnd w:id="334"/>
    </w:p>
    <w:p w:rsidR="00FC243E" w:rsidRDefault="00FC243E" w:rsidP="00FC243E">
      <w:pPr>
        <w:rPr>
          <w:lang w:eastAsia="en-CA"/>
        </w:rPr>
      </w:pPr>
      <w:r>
        <w:rPr>
          <w:lang w:eastAsia="en-CA"/>
        </w:rPr>
        <w:t xml:space="preserve">The ALCES CLFN model simulates a suite of </w:t>
      </w:r>
      <w:r w:rsidR="00C544DE">
        <w:rPr>
          <w:lang w:eastAsia="en-CA"/>
        </w:rPr>
        <w:t>land-use</w:t>
      </w:r>
      <w:r>
        <w:rPr>
          <w:lang w:eastAsia="en-CA"/>
        </w:rPr>
        <w:t xml:space="preserve"> and landscape metrics that are considered relevant to aboriginal communities (</w:t>
      </w:r>
      <w:r w:rsidR="00575CA7">
        <w:rPr>
          <w:lang w:eastAsia="en-CA"/>
        </w:rPr>
        <w:fldChar w:fldCharType="begin"/>
      </w:r>
      <w:r>
        <w:rPr>
          <w:lang w:eastAsia="en-CA"/>
        </w:rPr>
        <w:instrText xml:space="preserve"> REF _Ref326167337 \h </w:instrText>
      </w:r>
      <w:r w:rsidR="00575CA7">
        <w:rPr>
          <w:lang w:eastAsia="en-CA"/>
        </w:rPr>
      </w:r>
      <w:r w:rsidR="00575CA7">
        <w:rPr>
          <w:lang w:eastAsia="en-CA"/>
        </w:rPr>
        <w:fldChar w:fldCharType="separate"/>
      </w:r>
      <w:r w:rsidR="003648B8">
        <w:t xml:space="preserve">Figure </w:t>
      </w:r>
      <w:r w:rsidR="003648B8">
        <w:rPr>
          <w:noProof/>
        </w:rPr>
        <w:t>118</w:t>
      </w:r>
      <w:r w:rsidR="00575CA7">
        <w:rPr>
          <w:lang w:eastAsia="en-CA"/>
        </w:rPr>
        <w:fldChar w:fldCharType="end"/>
      </w:r>
      <w:r>
        <w:rPr>
          <w:lang w:eastAsia="en-CA"/>
        </w:rPr>
        <w:t>). These indicators can be assembled in different configurations to report on performance of various integrity indicators.</w:t>
      </w:r>
      <w:r w:rsidR="00DD33C3">
        <w:rPr>
          <w:lang w:eastAsia="en-CA"/>
        </w:rPr>
        <w:t xml:space="preserve"> Because of time constraints, only portions of the Aboriginal Peoples Sustainability modules were deployed in this project.</w:t>
      </w:r>
    </w:p>
    <w:p w:rsidR="00FC243E" w:rsidRDefault="00FC243E" w:rsidP="00FC243E">
      <w:pPr>
        <w:rPr>
          <w:lang w:eastAsia="en-CA"/>
        </w:rPr>
      </w:pPr>
    </w:p>
    <w:p w:rsidR="00FC243E" w:rsidRDefault="00FC243E" w:rsidP="00FC243E">
      <w:pPr>
        <w:rPr>
          <w:lang w:eastAsia="en-CA"/>
        </w:rPr>
      </w:pPr>
      <w:r>
        <w:rPr>
          <w:lang w:eastAsia="en-CA"/>
        </w:rPr>
        <w:t xml:space="preserve">For the CLFN SA project, no increase or decrease in the number or size of reserves occurs during the simulation period. The size of the First Nation population and their residence footprint is simulated to grow at 1.5%/yr for the next 50 </w:t>
      </w:r>
      <w:proofErr w:type="gramStart"/>
      <w:r>
        <w:rPr>
          <w:lang w:eastAsia="en-CA"/>
        </w:rPr>
        <w:t>years,</w:t>
      </w:r>
      <w:proofErr w:type="gramEnd"/>
      <w:r>
        <w:rPr>
          <w:lang w:eastAsia="en-CA"/>
        </w:rPr>
        <w:t xml:space="preserve"> and at 1%/yr thereafter.</w:t>
      </w:r>
    </w:p>
    <w:p w:rsidR="00DD33C3" w:rsidRDefault="00DD33C3" w:rsidP="00FC243E">
      <w:pPr>
        <w:rPr>
          <w:lang w:eastAsia="en-CA"/>
        </w:rPr>
      </w:pPr>
    </w:p>
    <w:p w:rsidR="00DD33C3" w:rsidRDefault="00DD33C3" w:rsidP="00DD33C3">
      <w:pPr>
        <w:pStyle w:val="BodyText"/>
        <w:keepNext/>
        <w:spacing w:after="0"/>
      </w:pPr>
      <w:r>
        <w:rPr>
          <w:noProof/>
          <w:lang w:val="en-US"/>
        </w:rPr>
        <w:drawing>
          <wp:inline distT="0" distB="0" distL="0" distR="0">
            <wp:extent cx="4761397" cy="3600000"/>
            <wp:effectExtent l="19050" t="19050" r="20153" b="19500"/>
            <wp:docPr id="7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8" cstate="print"/>
                    <a:srcRect/>
                    <a:stretch>
                      <a:fillRect/>
                    </a:stretch>
                  </pic:blipFill>
                  <pic:spPr bwMode="auto">
                    <a:xfrm>
                      <a:off x="0" y="0"/>
                      <a:ext cx="4761397"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DD33C3" w:rsidRDefault="00DD33C3" w:rsidP="00DD33C3">
      <w:pPr>
        <w:pStyle w:val="Caption"/>
      </w:pPr>
      <w:bookmarkStart w:id="335" w:name="_Ref326167337"/>
      <w:bookmarkStart w:id="336" w:name="_Toc338703897"/>
      <w:proofErr w:type="gramStart"/>
      <w:r>
        <w:t xml:space="preserve">Figure </w:t>
      </w:r>
      <w:fldSimple w:instr=" SEQ Figure \* ARABIC ">
        <w:r w:rsidR="00A02D22">
          <w:rPr>
            <w:noProof/>
          </w:rPr>
          <w:t>118</w:t>
        </w:r>
      </w:fldSimple>
      <w:bookmarkEnd w:id="335"/>
      <w:r>
        <w:t>.</w:t>
      </w:r>
      <w:proofErr w:type="gramEnd"/>
      <w:r>
        <w:t xml:space="preserve"> Generalized CLFN Sustainability Index used in the CLFN ALCES simulator.</w:t>
      </w:r>
      <w:bookmarkEnd w:id="336"/>
    </w:p>
    <w:p w:rsidR="00DD33C3" w:rsidRDefault="00DD33C3" w:rsidP="00FC243E">
      <w:pPr>
        <w:rPr>
          <w:lang w:eastAsia="en-CA"/>
        </w:rPr>
      </w:pPr>
    </w:p>
    <w:p w:rsidR="00FC243E" w:rsidRDefault="00FC243E" w:rsidP="00FC243E">
      <w:pPr>
        <w:pStyle w:val="Heading3"/>
        <w:rPr>
          <w:lang w:eastAsia="en-CA"/>
        </w:rPr>
      </w:pPr>
      <w:bookmarkStart w:id="337" w:name="_Toc338703730"/>
      <w:r>
        <w:rPr>
          <w:lang w:eastAsia="en-CA"/>
        </w:rPr>
        <w:t>Non-Aboriginal Populations and Their Settlements</w:t>
      </w:r>
      <w:bookmarkEnd w:id="337"/>
    </w:p>
    <w:p w:rsidR="00FC243E" w:rsidRDefault="00FC243E" w:rsidP="00FC243E">
      <w:pPr>
        <w:rPr>
          <w:lang w:eastAsia="en-CA"/>
        </w:rPr>
      </w:pPr>
      <w:r>
        <w:rPr>
          <w:lang w:eastAsia="en-CA"/>
        </w:rPr>
        <w:t xml:space="preserve">For the CLFN SA project, the size of the non-aboriginal population and their residence footprint is simulated to grow at 1.5%/yr for the next 50 </w:t>
      </w:r>
      <w:proofErr w:type="gramStart"/>
      <w:r>
        <w:rPr>
          <w:lang w:eastAsia="en-CA"/>
        </w:rPr>
        <w:t>years,</w:t>
      </w:r>
      <w:proofErr w:type="gramEnd"/>
      <w:r>
        <w:rPr>
          <w:lang w:eastAsia="en-CA"/>
        </w:rPr>
        <w:t xml:space="preserve"> and at 1%/yr thereafter.</w:t>
      </w:r>
    </w:p>
    <w:p w:rsidR="00FC243E" w:rsidRPr="00FC243E" w:rsidRDefault="00FC243E" w:rsidP="00FC243E">
      <w:pPr>
        <w:pStyle w:val="BodyText"/>
        <w:rPr>
          <w:lang w:val="en-US" w:eastAsia="en-CA"/>
        </w:rPr>
      </w:pPr>
    </w:p>
    <w:p w:rsidR="00DA6585" w:rsidRDefault="00DA6585" w:rsidP="00194C0B">
      <w:pPr>
        <w:pStyle w:val="Heading3"/>
      </w:pPr>
      <w:bookmarkStart w:id="338" w:name="_Toc338703731"/>
      <w:r>
        <w:t>Agriculture</w:t>
      </w:r>
      <w:bookmarkEnd w:id="338"/>
    </w:p>
    <w:p w:rsidR="00DD33C3" w:rsidRDefault="00DD33C3" w:rsidP="00DD33C3">
      <w:pPr>
        <w:pStyle w:val="BodyText"/>
        <w:rPr>
          <w:lang w:val="en-US"/>
        </w:rPr>
      </w:pPr>
      <w:r>
        <w:rPr>
          <w:lang w:val="en-US"/>
        </w:rPr>
        <w:t>Agriculture (both croplands and livestock) can significantly affect all aspects of ecological integrity (</w:t>
      </w:r>
      <w:r w:rsidR="00575CA7">
        <w:rPr>
          <w:lang w:val="en-US"/>
        </w:rPr>
        <w:fldChar w:fldCharType="begin"/>
      </w:r>
      <w:r>
        <w:rPr>
          <w:lang w:val="en-US"/>
        </w:rPr>
        <w:instrText xml:space="preserve"> REF _Ref326256461 \h </w:instrText>
      </w:r>
      <w:r w:rsidR="00575CA7">
        <w:rPr>
          <w:lang w:val="en-US"/>
        </w:rPr>
      </w:r>
      <w:r w:rsidR="00575CA7">
        <w:rPr>
          <w:lang w:val="en-US"/>
        </w:rPr>
        <w:fldChar w:fldCharType="separate"/>
      </w:r>
      <w:r w:rsidR="003648B8">
        <w:t xml:space="preserve">Figure </w:t>
      </w:r>
      <w:r w:rsidR="003648B8">
        <w:rPr>
          <w:noProof/>
        </w:rPr>
        <w:t>119</w:t>
      </w:r>
      <w:r w:rsidR="00575CA7">
        <w:rPr>
          <w:lang w:val="en-US"/>
        </w:rPr>
        <w:fldChar w:fldCharType="end"/>
      </w:r>
      <w:r w:rsidR="00EF3ABB">
        <w:rPr>
          <w:lang w:val="en-US"/>
        </w:rPr>
        <w:t xml:space="preserve">) including water quantity and </w:t>
      </w:r>
      <w:r>
        <w:rPr>
          <w:lang w:val="en-US"/>
        </w:rPr>
        <w:t>quality, air quality, landscape fragmentation, and the amount of wildlife habitat and soil organics.</w:t>
      </w:r>
    </w:p>
    <w:p w:rsidR="00DD33C3" w:rsidRPr="00666501" w:rsidRDefault="00EF3ABB" w:rsidP="00DD33C3">
      <w:pPr>
        <w:pStyle w:val="BodyText"/>
        <w:rPr>
          <w:lang w:val="en-US"/>
        </w:rPr>
      </w:pPr>
      <w:r>
        <w:rPr>
          <w:lang w:val="en-US"/>
        </w:rPr>
        <w:lastRenderedPageBreak/>
        <w:t>For the future simulation, c</w:t>
      </w:r>
      <w:r w:rsidR="00DD33C3">
        <w:rPr>
          <w:lang w:val="en-US"/>
        </w:rPr>
        <w:t xml:space="preserve">ultivated and forage crops continue to expand in </w:t>
      </w:r>
      <w:r>
        <w:rPr>
          <w:lang w:val="en-US"/>
        </w:rPr>
        <w:t>the CLFN SA</w:t>
      </w:r>
      <w:r w:rsidR="00DD33C3">
        <w:rPr>
          <w:lang w:val="en-US"/>
        </w:rPr>
        <w:t xml:space="preserve"> at a </w:t>
      </w:r>
      <w:r>
        <w:rPr>
          <w:lang w:val="en-US"/>
        </w:rPr>
        <w:t>rate</w:t>
      </w:r>
      <w:r w:rsidR="00DD33C3">
        <w:rPr>
          <w:lang w:val="en-US"/>
        </w:rPr>
        <w:t xml:space="preserve"> of 240 ha/yr until such time as remaining Class 4 soils have been fully consumed. At this juncture, no </w:t>
      </w:r>
      <w:r>
        <w:rPr>
          <w:lang w:val="en-US"/>
        </w:rPr>
        <w:t>further</w:t>
      </w:r>
      <w:r w:rsidR="00DD33C3">
        <w:rPr>
          <w:lang w:val="en-US"/>
        </w:rPr>
        <w:t xml:space="preserve"> cropland expansion occurs. Croplands are lost annually, however, to the expanding footprint of transportation, settlements, and energy sector.</w:t>
      </w:r>
    </w:p>
    <w:p w:rsidR="007235B2" w:rsidRDefault="007235B2" w:rsidP="007235B2">
      <w:pPr>
        <w:pStyle w:val="BodyText"/>
        <w:keepNext/>
        <w:spacing w:after="0"/>
      </w:pPr>
      <w:r>
        <w:rPr>
          <w:noProof/>
          <w:lang w:val="en-US"/>
        </w:rPr>
        <w:drawing>
          <wp:inline distT="0" distB="0" distL="0" distR="0">
            <wp:extent cx="4761397" cy="3600000"/>
            <wp:effectExtent l="19050" t="19050" r="20153" b="19500"/>
            <wp:docPr id="79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9" cstate="print"/>
                    <a:srcRect/>
                    <a:stretch>
                      <a:fillRect/>
                    </a:stretch>
                  </pic:blipFill>
                  <pic:spPr bwMode="auto">
                    <a:xfrm>
                      <a:off x="0" y="0"/>
                      <a:ext cx="4761397"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7235B2" w:rsidRDefault="007235B2" w:rsidP="007235B2">
      <w:pPr>
        <w:pStyle w:val="Caption"/>
      </w:pPr>
      <w:bookmarkStart w:id="339" w:name="_Ref326256461"/>
      <w:bookmarkStart w:id="340" w:name="_Toc338703898"/>
      <w:proofErr w:type="gramStart"/>
      <w:r>
        <w:t xml:space="preserve">Figure </w:t>
      </w:r>
      <w:fldSimple w:instr=" SEQ Figure \* ARABIC ">
        <w:r w:rsidR="00A02D22">
          <w:rPr>
            <w:noProof/>
          </w:rPr>
          <w:t>119</w:t>
        </w:r>
      </w:fldSimple>
      <w:bookmarkEnd w:id="339"/>
      <w:r>
        <w:t>.</w:t>
      </w:r>
      <w:proofErr w:type="gramEnd"/>
      <w:r>
        <w:t xml:space="preserve"> </w:t>
      </w:r>
      <w:proofErr w:type="gramStart"/>
      <w:r>
        <w:t>Generalized crop sector impact hypothesis diagram in the CLFN ALCES simulator.</w:t>
      </w:r>
      <w:bookmarkEnd w:id="340"/>
      <w:proofErr w:type="gramEnd"/>
    </w:p>
    <w:p w:rsidR="007235B2" w:rsidRPr="007235B2" w:rsidRDefault="007235B2" w:rsidP="007235B2">
      <w:pPr>
        <w:rPr>
          <w:lang w:val="en-US" w:eastAsia="en-CA"/>
        </w:rPr>
      </w:pPr>
    </w:p>
    <w:p w:rsidR="00DA6585" w:rsidRDefault="00DA6585" w:rsidP="00194C0B">
      <w:pPr>
        <w:pStyle w:val="Heading3"/>
      </w:pPr>
      <w:bookmarkStart w:id="341" w:name="_Toc338703732"/>
      <w:r>
        <w:t>Forestry</w:t>
      </w:r>
      <w:bookmarkEnd w:id="341"/>
    </w:p>
    <w:p w:rsidR="00830D0B" w:rsidRDefault="00830D0B" w:rsidP="00830D0B">
      <w:pPr>
        <w:pStyle w:val="BodyText"/>
        <w:rPr>
          <w:lang w:val="en-US"/>
        </w:rPr>
      </w:pPr>
      <w:r>
        <w:rPr>
          <w:lang w:val="en-US"/>
        </w:rPr>
        <w:t>No commercial forestry operations were conducted as part of historical, current or future simulatio</w:t>
      </w:r>
      <w:r w:rsidR="00666501">
        <w:rPr>
          <w:lang w:val="en-US"/>
        </w:rPr>
        <w:t>n</w:t>
      </w:r>
      <w:r>
        <w:rPr>
          <w:lang w:val="en-US"/>
        </w:rPr>
        <w:t xml:space="preserve">s in CLFN SA. Wood salvage was allowed to occur for selected </w:t>
      </w:r>
      <w:r w:rsidR="00666501">
        <w:rPr>
          <w:lang w:val="en-US"/>
        </w:rPr>
        <w:t xml:space="preserve">footprint </w:t>
      </w:r>
      <w:r>
        <w:rPr>
          <w:lang w:val="en-US"/>
        </w:rPr>
        <w:t>types</w:t>
      </w:r>
      <w:r w:rsidR="00666501">
        <w:rPr>
          <w:lang w:val="en-US"/>
        </w:rPr>
        <w:t xml:space="preserve"> </w:t>
      </w:r>
      <w:r>
        <w:rPr>
          <w:lang w:val="en-US"/>
        </w:rPr>
        <w:t>(large roads, pipelines, transmission lines</w:t>
      </w:r>
      <w:r w:rsidR="00666501">
        <w:rPr>
          <w:lang w:val="en-US"/>
        </w:rPr>
        <w:t>)</w:t>
      </w:r>
      <w:r>
        <w:rPr>
          <w:lang w:val="en-US"/>
        </w:rPr>
        <w:t xml:space="preserve"> that </w:t>
      </w:r>
      <w:r w:rsidR="00666501">
        <w:rPr>
          <w:lang w:val="en-US"/>
        </w:rPr>
        <w:t xml:space="preserve">were constructed through </w:t>
      </w:r>
      <w:r>
        <w:rPr>
          <w:lang w:val="en-US"/>
        </w:rPr>
        <w:t>merchantable fore</w:t>
      </w:r>
      <w:r w:rsidR="00666501">
        <w:rPr>
          <w:lang w:val="en-US"/>
        </w:rPr>
        <w:t>s</w:t>
      </w:r>
      <w:r>
        <w:rPr>
          <w:lang w:val="en-US"/>
        </w:rPr>
        <w:t>ts.</w:t>
      </w:r>
    </w:p>
    <w:p w:rsidR="00FC243E" w:rsidRPr="00830D0B" w:rsidRDefault="00FC243E" w:rsidP="00830D0B">
      <w:pPr>
        <w:pStyle w:val="BodyText"/>
        <w:rPr>
          <w:lang w:val="en-US"/>
        </w:rPr>
      </w:pPr>
      <w:r>
        <w:rPr>
          <w:lang w:val="en-US"/>
        </w:rPr>
        <w:t>It is relevant that commercial forest harvest is ongoing in Saskatchewan immediately east of the CLFN SA and within their Traditional Territories.</w:t>
      </w:r>
    </w:p>
    <w:p w:rsidR="00DA6585" w:rsidRDefault="00DA6585" w:rsidP="00194C0B">
      <w:pPr>
        <w:pStyle w:val="Heading3"/>
      </w:pPr>
      <w:bookmarkStart w:id="342" w:name="_Ref325920812"/>
      <w:bookmarkStart w:id="343" w:name="_Ref325920840"/>
      <w:bookmarkStart w:id="344" w:name="_Toc338703733"/>
      <w:r>
        <w:t>Hydrocarbon</w:t>
      </w:r>
      <w:bookmarkEnd w:id="342"/>
      <w:bookmarkEnd w:id="343"/>
      <w:r w:rsidR="00FC243E">
        <w:t>s (Bitumen and Heavy Oil)</w:t>
      </w:r>
      <w:bookmarkEnd w:id="344"/>
    </w:p>
    <w:p w:rsidR="00E613B9" w:rsidRDefault="00E613B9" w:rsidP="00E613B9">
      <w:pPr>
        <w:pStyle w:val="BodyText"/>
        <w:rPr>
          <w:lang w:val="en-US"/>
        </w:rPr>
      </w:pPr>
      <w:r>
        <w:rPr>
          <w:lang w:val="en-US"/>
        </w:rPr>
        <w:t>The general methodologies employed by the ALCES IV model for simulating the oil and gas sector are described in the CLFN A</w:t>
      </w:r>
      <w:r w:rsidR="008A7F47">
        <w:rPr>
          <w:lang w:val="en-US"/>
        </w:rPr>
        <w:t>LCES Technical Manual (Appendix A</w:t>
      </w:r>
      <w:r>
        <w:rPr>
          <w:lang w:val="en-US"/>
        </w:rPr>
        <w:t xml:space="preserve">). The Hubbert/Naill life history approach </w:t>
      </w:r>
      <w:r w:rsidR="00DD33C3">
        <w:rPr>
          <w:lang w:val="en-US"/>
        </w:rPr>
        <w:t>(</w:t>
      </w:r>
      <w:r w:rsidR="00575CA7">
        <w:rPr>
          <w:lang w:val="en-US"/>
        </w:rPr>
        <w:fldChar w:fldCharType="begin"/>
      </w:r>
      <w:r w:rsidR="00DD33C3">
        <w:rPr>
          <w:lang w:val="en-US"/>
        </w:rPr>
        <w:instrText xml:space="preserve"> REF _Ref326256512 \h </w:instrText>
      </w:r>
      <w:r w:rsidR="00575CA7">
        <w:rPr>
          <w:lang w:val="en-US"/>
        </w:rPr>
      </w:r>
      <w:r w:rsidR="00575CA7">
        <w:rPr>
          <w:lang w:val="en-US"/>
        </w:rPr>
        <w:fldChar w:fldCharType="separate"/>
      </w:r>
      <w:r w:rsidR="003648B8">
        <w:t xml:space="preserve">Figure </w:t>
      </w:r>
      <w:r w:rsidR="003648B8">
        <w:rPr>
          <w:noProof/>
        </w:rPr>
        <w:t>120</w:t>
      </w:r>
      <w:r w:rsidR="00575CA7">
        <w:rPr>
          <w:lang w:val="en-US"/>
        </w:rPr>
        <w:fldChar w:fldCharType="end"/>
      </w:r>
      <w:r w:rsidR="00DD33C3">
        <w:rPr>
          <w:lang w:val="en-US"/>
        </w:rPr>
        <w:t xml:space="preserve">) </w:t>
      </w:r>
      <w:r>
        <w:rPr>
          <w:lang w:val="en-US"/>
        </w:rPr>
        <w:t>to reserve delineation, exploration and production used by ALCES requires input values that pertain to the following reserve variables:</w:t>
      </w:r>
    </w:p>
    <w:p w:rsidR="00E613B9" w:rsidRDefault="00E613B9" w:rsidP="003F3386">
      <w:pPr>
        <w:pStyle w:val="BodyText"/>
        <w:numPr>
          <w:ilvl w:val="0"/>
          <w:numId w:val="16"/>
        </w:numPr>
        <w:spacing w:after="0"/>
        <w:ind w:left="714" w:hanging="357"/>
        <w:rPr>
          <w:lang w:val="en-US"/>
        </w:rPr>
      </w:pPr>
      <w:r>
        <w:rPr>
          <w:lang w:val="en-US"/>
        </w:rPr>
        <w:t>Total Reserve in Place</w:t>
      </w:r>
    </w:p>
    <w:p w:rsidR="00E613B9" w:rsidRDefault="00E613B9" w:rsidP="003F3386">
      <w:pPr>
        <w:pStyle w:val="BodyText"/>
        <w:numPr>
          <w:ilvl w:val="0"/>
          <w:numId w:val="16"/>
        </w:numPr>
        <w:spacing w:after="0"/>
        <w:ind w:left="714" w:hanging="357"/>
        <w:rPr>
          <w:lang w:val="en-US"/>
        </w:rPr>
      </w:pPr>
      <w:r>
        <w:rPr>
          <w:lang w:val="en-US"/>
        </w:rPr>
        <w:lastRenderedPageBreak/>
        <w:t>Historical Reserve Production</w:t>
      </w:r>
    </w:p>
    <w:p w:rsidR="00E613B9" w:rsidRDefault="00E613B9" w:rsidP="003F3386">
      <w:pPr>
        <w:pStyle w:val="BodyText"/>
        <w:numPr>
          <w:ilvl w:val="0"/>
          <w:numId w:val="16"/>
        </w:numPr>
        <w:spacing w:after="0"/>
        <w:ind w:left="714" w:hanging="357"/>
        <w:rPr>
          <w:lang w:val="en-US"/>
        </w:rPr>
      </w:pPr>
      <w:r>
        <w:rPr>
          <w:lang w:val="en-US"/>
        </w:rPr>
        <w:t>Current Proven Hydrocarbon Volumes</w:t>
      </w:r>
    </w:p>
    <w:p w:rsidR="00E613B9" w:rsidRDefault="00E613B9" w:rsidP="00E613B9">
      <w:pPr>
        <w:pStyle w:val="BodyText"/>
        <w:spacing w:after="0"/>
        <w:rPr>
          <w:lang w:val="en-US"/>
        </w:rPr>
      </w:pPr>
    </w:p>
    <w:p w:rsidR="009063BD" w:rsidRDefault="009063BD" w:rsidP="00E613B9">
      <w:pPr>
        <w:pStyle w:val="BodyText"/>
        <w:rPr>
          <w:lang w:val="en-US"/>
        </w:rPr>
      </w:pPr>
      <w:r>
        <w:rPr>
          <w:lang w:val="en-US"/>
        </w:rPr>
        <w:t>The majority of CLFN SA has been leased by the hydrocarbon sector for exploration and production (</w:t>
      </w:r>
      <w:r w:rsidR="00575CA7">
        <w:rPr>
          <w:lang w:val="en-US"/>
        </w:rPr>
        <w:fldChar w:fldCharType="begin"/>
      </w:r>
      <w:r>
        <w:rPr>
          <w:lang w:val="en-US"/>
        </w:rPr>
        <w:instrText xml:space="preserve"> REF _Ref325549989 \h </w:instrText>
      </w:r>
      <w:r w:rsidR="00575CA7">
        <w:rPr>
          <w:lang w:val="en-US"/>
        </w:rPr>
      </w:r>
      <w:r w:rsidR="00575CA7">
        <w:rPr>
          <w:lang w:val="en-US"/>
        </w:rPr>
        <w:fldChar w:fldCharType="separate"/>
      </w:r>
      <w:r w:rsidR="003648B8">
        <w:t xml:space="preserve">Figure </w:t>
      </w:r>
      <w:r w:rsidR="003648B8">
        <w:rPr>
          <w:noProof/>
        </w:rPr>
        <w:t>121</w:t>
      </w:r>
      <w:r w:rsidR="00575CA7">
        <w:rPr>
          <w:lang w:val="en-US"/>
        </w:rPr>
        <w:fldChar w:fldCharType="end"/>
      </w:r>
      <w:r>
        <w:rPr>
          <w:lang w:val="en-US"/>
        </w:rPr>
        <w:t>).</w:t>
      </w:r>
    </w:p>
    <w:p w:rsidR="00E613B9" w:rsidRDefault="00E613B9" w:rsidP="00E613B9">
      <w:pPr>
        <w:pStyle w:val="BodyText"/>
        <w:rPr>
          <w:lang w:val="en-US"/>
        </w:rPr>
      </w:pPr>
      <w:r>
        <w:rPr>
          <w:lang w:val="en-US"/>
        </w:rPr>
        <w:t>When simulating the future development of a regional hydrocarbon reserve, it is not possible, or desirable, to predict the precise temporal and spatial conditions. The objective is to explicitly state one</w:t>
      </w:r>
      <w:r w:rsidR="00DD33C3">
        <w:rPr>
          <w:lang w:val="en-US"/>
        </w:rPr>
        <w:t>s assumptions and to construct plausible future trajectories</w:t>
      </w:r>
      <w:r>
        <w:rPr>
          <w:lang w:val="en-US"/>
        </w:rPr>
        <w:t xml:space="preserve"> that allows stakeholders to better understand the pace and magnitude of the reserve development and the suite of benefits and liabilities that attend the stated trajectory.</w:t>
      </w:r>
    </w:p>
    <w:p w:rsidR="00E613B9" w:rsidRDefault="00E613B9" w:rsidP="00E613B9">
      <w:pPr>
        <w:pStyle w:val="BodyText"/>
        <w:rPr>
          <w:lang w:val="en-US"/>
        </w:rPr>
      </w:pPr>
      <w:r>
        <w:rPr>
          <w:lang w:val="en-US"/>
        </w:rPr>
        <w:t>In addition to reserve</w:t>
      </w:r>
      <w:r w:rsidR="00E071DD">
        <w:rPr>
          <w:lang w:val="en-US"/>
        </w:rPr>
        <w:t xml:space="preserve"> data</w:t>
      </w:r>
      <w:r>
        <w:rPr>
          <w:lang w:val="en-US"/>
        </w:rPr>
        <w:t>, metrics (average size, width, lifespan) for current and future footprints are required for the following variables:</w:t>
      </w:r>
    </w:p>
    <w:p w:rsidR="00E613B9" w:rsidRDefault="00E613B9" w:rsidP="003F3386">
      <w:pPr>
        <w:pStyle w:val="BodyText"/>
        <w:numPr>
          <w:ilvl w:val="0"/>
          <w:numId w:val="17"/>
        </w:numPr>
        <w:spacing w:after="0"/>
        <w:ind w:left="714" w:hanging="357"/>
        <w:rPr>
          <w:lang w:val="en-US"/>
        </w:rPr>
      </w:pPr>
      <w:r>
        <w:rPr>
          <w:lang w:val="en-US"/>
        </w:rPr>
        <w:t>Seismic lines</w:t>
      </w:r>
    </w:p>
    <w:p w:rsidR="00E613B9" w:rsidRDefault="00E613B9" w:rsidP="003F3386">
      <w:pPr>
        <w:pStyle w:val="BodyText"/>
        <w:numPr>
          <w:ilvl w:val="0"/>
          <w:numId w:val="17"/>
        </w:numPr>
        <w:spacing w:after="0"/>
        <w:ind w:left="714" w:hanging="357"/>
        <w:rPr>
          <w:lang w:val="en-US"/>
        </w:rPr>
      </w:pPr>
      <w:r>
        <w:rPr>
          <w:lang w:val="en-US"/>
        </w:rPr>
        <w:t>Wellpads</w:t>
      </w:r>
      <w:r w:rsidR="009063BD">
        <w:rPr>
          <w:lang w:val="en-US"/>
        </w:rPr>
        <w:t xml:space="preserve"> and their access roads</w:t>
      </w:r>
    </w:p>
    <w:p w:rsidR="00E613B9" w:rsidRDefault="009063BD" w:rsidP="003F3386">
      <w:pPr>
        <w:pStyle w:val="BodyText"/>
        <w:numPr>
          <w:ilvl w:val="0"/>
          <w:numId w:val="17"/>
        </w:numPr>
        <w:spacing w:after="0"/>
        <w:ind w:left="714" w:hanging="357"/>
        <w:rPr>
          <w:lang w:val="en-US"/>
        </w:rPr>
      </w:pPr>
      <w:r>
        <w:rPr>
          <w:lang w:val="en-US"/>
        </w:rPr>
        <w:t>Production and delineation wells</w:t>
      </w:r>
    </w:p>
    <w:p w:rsidR="00E613B9" w:rsidRDefault="00E613B9" w:rsidP="003F3386">
      <w:pPr>
        <w:pStyle w:val="BodyText"/>
        <w:numPr>
          <w:ilvl w:val="0"/>
          <w:numId w:val="17"/>
        </w:numPr>
        <w:spacing w:after="0"/>
        <w:ind w:left="714" w:hanging="357"/>
        <w:rPr>
          <w:lang w:val="en-US"/>
        </w:rPr>
      </w:pPr>
      <w:r>
        <w:rPr>
          <w:lang w:val="en-US"/>
        </w:rPr>
        <w:t>Pipelines</w:t>
      </w:r>
    </w:p>
    <w:p w:rsidR="009063BD" w:rsidRDefault="009063BD" w:rsidP="009063BD">
      <w:pPr>
        <w:pStyle w:val="BodyText"/>
        <w:spacing w:after="0"/>
        <w:ind w:left="357"/>
        <w:rPr>
          <w:lang w:val="en-US"/>
        </w:rPr>
      </w:pPr>
    </w:p>
    <w:p w:rsidR="00E613B9" w:rsidRDefault="00E613B9" w:rsidP="00E613B9">
      <w:pPr>
        <w:pStyle w:val="BodyText"/>
        <w:rPr>
          <w:lang w:val="en-US"/>
        </w:rPr>
      </w:pPr>
      <w:r>
        <w:rPr>
          <w:lang w:val="en-US"/>
        </w:rPr>
        <w:t>Initial values for hydrocarbon reserves (</w:t>
      </w:r>
      <w:r w:rsidR="00575CA7">
        <w:rPr>
          <w:lang w:val="en-US"/>
        </w:rPr>
        <w:fldChar w:fldCharType="begin"/>
      </w:r>
      <w:r w:rsidR="00995559">
        <w:rPr>
          <w:lang w:val="en-US"/>
        </w:rPr>
        <w:instrText xml:space="preserve"> REF _Ref326167909 \h </w:instrText>
      </w:r>
      <w:r w:rsidR="00575CA7">
        <w:rPr>
          <w:lang w:val="en-US"/>
        </w:rPr>
      </w:r>
      <w:r w:rsidR="00575CA7">
        <w:rPr>
          <w:lang w:val="en-US"/>
        </w:rPr>
        <w:fldChar w:fldCharType="separate"/>
      </w:r>
      <w:r w:rsidR="003648B8">
        <w:t xml:space="preserve">Figure </w:t>
      </w:r>
      <w:r w:rsidR="003648B8">
        <w:rPr>
          <w:noProof/>
        </w:rPr>
        <w:t>122</w:t>
      </w:r>
      <w:r w:rsidR="00575CA7">
        <w:rPr>
          <w:lang w:val="en-US"/>
        </w:rPr>
        <w:fldChar w:fldCharType="end"/>
      </w:r>
      <w:r w:rsidR="00995559">
        <w:rPr>
          <w:lang w:val="en-US"/>
        </w:rPr>
        <w:t xml:space="preserve">, </w:t>
      </w:r>
      <w:r w:rsidR="00575CA7">
        <w:rPr>
          <w:lang w:val="en-US"/>
        </w:rPr>
        <w:fldChar w:fldCharType="begin"/>
      </w:r>
      <w:r w:rsidR="00995559">
        <w:rPr>
          <w:lang w:val="en-US"/>
        </w:rPr>
        <w:instrText xml:space="preserve"> REF _Ref326167932 \h </w:instrText>
      </w:r>
      <w:r w:rsidR="00575CA7">
        <w:rPr>
          <w:lang w:val="en-US"/>
        </w:rPr>
      </w:r>
      <w:r w:rsidR="00575CA7">
        <w:rPr>
          <w:lang w:val="en-US"/>
        </w:rPr>
        <w:fldChar w:fldCharType="separate"/>
      </w:r>
      <w:r w:rsidR="003648B8">
        <w:t xml:space="preserve">Figure </w:t>
      </w:r>
      <w:r w:rsidR="003648B8">
        <w:rPr>
          <w:noProof/>
        </w:rPr>
        <w:t>123</w:t>
      </w:r>
      <w:r w:rsidR="00575CA7">
        <w:rPr>
          <w:lang w:val="en-US"/>
        </w:rPr>
        <w:fldChar w:fldCharType="end"/>
      </w:r>
      <w:r w:rsidR="00995559">
        <w:rPr>
          <w:lang w:val="en-US"/>
        </w:rPr>
        <w:t xml:space="preserve">, </w:t>
      </w:r>
      <w:r w:rsidR="00575CA7">
        <w:rPr>
          <w:lang w:val="en-US"/>
        </w:rPr>
        <w:fldChar w:fldCharType="begin"/>
      </w:r>
      <w:r w:rsidR="00995559">
        <w:rPr>
          <w:lang w:val="en-US"/>
        </w:rPr>
        <w:instrText xml:space="preserve"> REF _Ref326167934 \h </w:instrText>
      </w:r>
      <w:r w:rsidR="00575CA7">
        <w:rPr>
          <w:lang w:val="en-US"/>
        </w:rPr>
      </w:r>
      <w:r w:rsidR="00575CA7">
        <w:rPr>
          <w:lang w:val="en-US"/>
        </w:rPr>
        <w:fldChar w:fldCharType="separate"/>
      </w:r>
      <w:r w:rsidR="003648B8">
        <w:t xml:space="preserve">Figure </w:t>
      </w:r>
      <w:r w:rsidR="003648B8">
        <w:rPr>
          <w:noProof/>
        </w:rPr>
        <w:t>124</w:t>
      </w:r>
      <w:r w:rsidR="00575CA7">
        <w:rPr>
          <w:lang w:val="en-US"/>
        </w:rPr>
        <w:fldChar w:fldCharType="end"/>
      </w:r>
      <w:r w:rsidR="00995559">
        <w:rPr>
          <w:lang w:val="en-US"/>
        </w:rPr>
        <w:t xml:space="preserve">, </w:t>
      </w:r>
      <w:r w:rsidR="00575CA7">
        <w:rPr>
          <w:lang w:val="en-US"/>
        </w:rPr>
        <w:fldChar w:fldCharType="begin"/>
      </w:r>
      <w:r w:rsidR="00995559">
        <w:rPr>
          <w:lang w:val="en-US"/>
        </w:rPr>
        <w:instrText xml:space="preserve"> REF _Ref326167937 \h </w:instrText>
      </w:r>
      <w:r w:rsidR="00575CA7">
        <w:rPr>
          <w:lang w:val="en-US"/>
        </w:rPr>
      </w:r>
      <w:r w:rsidR="00575CA7">
        <w:rPr>
          <w:lang w:val="en-US"/>
        </w:rPr>
        <w:fldChar w:fldCharType="separate"/>
      </w:r>
      <w:proofErr w:type="gramStart"/>
      <w:r w:rsidR="003648B8">
        <w:t>Figure</w:t>
      </w:r>
      <w:proofErr w:type="gramEnd"/>
      <w:r w:rsidR="003648B8">
        <w:t xml:space="preserve"> </w:t>
      </w:r>
      <w:r w:rsidR="003648B8">
        <w:rPr>
          <w:noProof/>
        </w:rPr>
        <w:t>125</w:t>
      </w:r>
      <w:r w:rsidR="00575CA7">
        <w:rPr>
          <w:lang w:val="en-US"/>
        </w:rPr>
        <w:fldChar w:fldCharType="end"/>
      </w:r>
      <w:r w:rsidR="008B26FD">
        <w:rPr>
          <w:lang w:val="en-US"/>
        </w:rPr>
        <w:t>) and energy sector footprint metrics</w:t>
      </w:r>
      <w:r>
        <w:rPr>
          <w:lang w:val="en-US"/>
        </w:rPr>
        <w:t xml:space="preserve"> (</w:t>
      </w:r>
      <w:r w:rsidR="00575CA7">
        <w:rPr>
          <w:lang w:val="en-US"/>
        </w:rPr>
        <w:fldChar w:fldCharType="begin"/>
      </w:r>
      <w:r w:rsidR="009063BD">
        <w:rPr>
          <w:lang w:val="en-US"/>
        </w:rPr>
        <w:instrText xml:space="preserve"> REF _Ref325549989 \h </w:instrText>
      </w:r>
      <w:r w:rsidR="00575CA7">
        <w:rPr>
          <w:lang w:val="en-US"/>
        </w:rPr>
      </w:r>
      <w:r w:rsidR="00575CA7">
        <w:rPr>
          <w:lang w:val="en-US"/>
        </w:rPr>
        <w:fldChar w:fldCharType="separate"/>
      </w:r>
      <w:r w:rsidR="003648B8">
        <w:t xml:space="preserve">Figure </w:t>
      </w:r>
      <w:r w:rsidR="003648B8">
        <w:rPr>
          <w:noProof/>
        </w:rPr>
        <w:t>121</w:t>
      </w:r>
      <w:r w:rsidR="00575CA7">
        <w:rPr>
          <w:lang w:val="en-US"/>
        </w:rPr>
        <w:fldChar w:fldCharType="end"/>
      </w:r>
      <w:r>
        <w:rPr>
          <w:lang w:val="en-US"/>
        </w:rPr>
        <w:t>) were provided by Alex Lemmens of Birchwood Resources, a company with significant experience in insitu extraction of unconventional oil in the region. Where uncertainties of input values existed, conservative estimates were adopted to directionally under-estimate future footprint growth and over-estimate reclamation rates. This project also considered the input assumptions as adopted by the Sustainable Ecosystems Working Group (SEWG) of the Cumulative Effects Management Association (CEMA), who recently completed a regional assessment of the energ</w:t>
      </w:r>
      <w:r w:rsidR="00DD33C3">
        <w:rPr>
          <w:lang w:val="en-US"/>
        </w:rPr>
        <w:t>y sector in northeast Alberta (www.cemaonline.ca)</w:t>
      </w:r>
      <w:r>
        <w:rPr>
          <w:lang w:val="en-US"/>
        </w:rPr>
        <w:t>.</w:t>
      </w:r>
    </w:p>
    <w:p w:rsidR="001C137C" w:rsidRDefault="00B70B31" w:rsidP="00B70B31">
      <w:pPr>
        <w:pStyle w:val="BodyText"/>
        <w:rPr>
          <w:lang w:val="en-US"/>
        </w:rPr>
      </w:pPr>
      <w:r w:rsidRPr="00DD33C3">
        <w:rPr>
          <w:lang w:val="en-US"/>
        </w:rPr>
        <w:t>Of the total estim</w:t>
      </w:r>
      <w:r w:rsidR="00DD33C3" w:rsidRPr="00DD33C3">
        <w:rPr>
          <w:lang w:val="en-US"/>
        </w:rPr>
        <w:t>ated recoverable reserves of 6.329</w:t>
      </w:r>
      <w:r w:rsidRPr="00DD33C3">
        <w:rPr>
          <w:lang w:val="en-US"/>
        </w:rPr>
        <w:t xml:space="preserve"> B m</w:t>
      </w:r>
      <w:r w:rsidRPr="00DD33C3">
        <w:rPr>
          <w:vertAlign w:val="superscript"/>
          <w:lang w:val="en-US"/>
        </w:rPr>
        <w:t>3</w:t>
      </w:r>
      <w:r w:rsidRPr="00DD33C3">
        <w:rPr>
          <w:lang w:val="en-US"/>
        </w:rPr>
        <w:t>, ~0.5</w:t>
      </w:r>
      <w:r w:rsidR="00DD33C3" w:rsidRPr="00DD33C3">
        <w:rPr>
          <w:lang w:val="en-US"/>
        </w:rPr>
        <w:t>1</w:t>
      </w:r>
      <w:r w:rsidRPr="00DD33C3">
        <w:rPr>
          <w:lang w:val="en-US"/>
        </w:rPr>
        <w:t xml:space="preserve"> will be extracted using primary heavy oil techniques, </w:t>
      </w:r>
      <w:r w:rsidR="00DD33C3" w:rsidRPr="00DD33C3">
        <w:rPr>
          <w:lang w:val="en-US"/>
        </w:rPr>
        <w:t>3.425</w:t>
      </w:r>
      <w:r w:rsidRPr="00DD33C3">
        <w:rPr>
          <w:lang w:val="en-US"/>
        </w:rPr>
        <w:t xml:space="preserve"> B m</w:t>
      </w:r>
      <w:r w:rsidRPr="00DD33C3">
        <w:rPr>
          <w:vertAlign w:val="superscript"/>
          <w:lang w:val="en-US"/>
        </w:rPr>
        <w:t>3</w:t>
      </w:r>
      <w:r w:rsidR="00DD33C3" w:rsidRPr="00DD33C3">
        <w:rPr>
          <w:lang w:val="en-US"/>
        </w:rPr>
        <w:t xml:space="preserve"> from CSS and 2.222</w:t>
      </w:r>
      <w:r w:rsidRPr="00DD33C3">
        <w:rPr>
          <w:lang w:val="en-US"/>
        </w:rPr>
        <w:t xml:space="preserve"> B m</w:t>
      </w:r>
      <w:r w:rsidRPr="00DD33C3">
        <w:rPr>
          <w:vertAlign w:val="superscript"/>
          <w:lang w:val="en-US"/>
        </w:rPr>
        <w:t>3</w:t>
      </w:r>
      <w:r w:rsidRPr="00DD33C3">
        <w:rPr>
          <w:lang w:val="en-US"/>
        </w:rPr>
        <w:t xml:space="preserve"> from SAGD</w:t>
      </w:r>
      <w:r w:rsidR="009063BD">
        <w:rPr>
          <w:lang w:val="en-US"/>
        </w:rPr>
        <w:t xml:space="preserve"> (Lemmens, pers. comm., 2012; Appendix B)</w:t>
      </w:r>
      <w:r w:rsidRPr="00DD33C3">
        <w:rPr>
          <w:lang w:val="en-US"/>
        </w:rPr>
        <w:t>.</w:t>
      </w:r>
    </w:p>
    <w:p w:rsidR="00B70B31" w:rsidRDefault="00B70B31" w:rsidP="00B70B31">
      <w:pPr>
        <w:pStyle w:val="BodyText"/>
        <w:rPr>
          <w:lang w:val="en-US"/>
        </w:rPr>
      </w:pPr>
      <w:r>
        <w:rPr>
          <w:lang w:val="en-US"/>
        </w:rPr>
        <w:t xml:space="preserve">Estimates of the time horizon of extracting </w:t>
      </w:r>
      <w:r w:rsidR="00DD33C3">
        <w:rPr>
          <w:lang w:val="en-US"/>
        </w:rPr>
        <w:t>the majority of</w:t>
      </w:r>
      <w:r>
        <w:rPr>
          <w:lang w:val="en-US"/>
        </w:rPr>
        <w:t xml:space="preserve"> recoverable volumes range from several decades to multiple centuries and will be influenced by a multitude of factors including emergent extraction and processing technologies, market price of oil, and commitment by government to ecological goods and services. </w:t>
      </w:r>
      <w:r w:rsidR="001C137C">
        <w:rPr>
          <w:lang w:val="en-US"/>
        </w:rPr>
        <w:t xml:space="preserve">The simulation length of the future trajectory for the CLFN SA is 200 years (2012 to 2212), during which the vast </w:t>
      </w:r>
      <w:proofErr w:type="gramStart"/>
      <w:r w:rsidR="001C137C">
        <w:rPr>
          <w:lang w:val="en-US"/>
        </w:rPr>
        <w:t xml:space="preserve">majority (5.5 </w:t>
      </w:r>
      <w:r w:rsidR="001C137C" w:rsidRPr="00DD33C3">
        <w:rPr>
          <w:lang w:val="en-US"/>
        </w:rPr>
        <w:t>B m</w:t>
      </w:r>
      <w:r w:rsidR="001C137C" w:rsidRPr="00DD33C3">
        <w:rPr>
          <w:vertAlign w:val="superscript"/>
          <w:lang w:val="en-US"/>
        </w:rPr>
        <w:t>3</w:t>
      </w:r>
      <w:r w:rsidR="001C137C">
        <w:rPr>
          <w:lang w:val="en-US"/>
        </w:rPr>
        <w:t xml:space="preserve">) of the total (6.3 </w:t>
      </w:r>
      <w:r w:rsidR="001C137C" w:rsidRPr="00DD33C3">
        <w:rPr>
          <w:lang w:val="en-US"/>
        </w:rPr>
        <w:t>B m</w:t>
      </w:r>
      <w:r w:rsidR="001C137C" w:rsidRPr="00DD33C3">
        <w:rPr>
          <w:vertAlign w:val="superscript"/>
          <w:lang w:val="en-US"/>
        </w:rPr>
        <w:t>3</w:t>
      </w:r>
      <w:r w:rsidR="001C137C">
        <w:rPr>
          <w:lang w:val="en-US"/>
        </w:rPr>
        <w:t>) recoverable reserves are</w:t>
      </w:r>
      <w:proofErr w:type="gramEnd"/>
      <w:r w:rsidR="001C137C">
        <w:rPr>
          <w:lang w:val="en-US"/>
        </w:rPr>
        <w:t xml:space="preserve"> produced. The CLFN ALCES model has been customized to enable rapid exploration of alternative bitumen reserve recovery trajectories.</w:t>
      </w:r>
    </w:p>
    <w:p w:rsidR="001C137C" w:rsidRDefault="001C137C" w:rsidP="00B70B31">
      <w:pPr>
        <w:pStyle w:val="BodyText"/>
        <w:rPr>
          <w:lang w:val="en-US"/>
        </w:rPr>
      </w:pPr>
      <w:r>
        <w:rPr>
          <w:lang w:val="en-US"/>
        </w:rPr>
        <w:t xml:space="preserve">To develop a bitumen development mask for the CLFN SA to be used in ALCES Mapper, the ERCB deposit masks for Upper and Lower Grand Rapids, Cold Lake Clearwater and Ft. McMurray/Wabiskaw deposits were digitized. Future development was restricted to all thicker deposits and those intermediate thickness deposits proximal to the deepest deposit </w:t>
      </w:r>
      <w:r>
        <w:rPr>
          <w:lang w:val="en-US"/>
        </w:rPr>
        <w:lastRenderedPageBreak/>
        <w:t>classes (</w:t>
      </w:r>
      <w:r w:rsidR="00575CA7">
        <w:rPr>
          <w:lang w:val="en-US"/>
        </w:rPr>
        <w:fldChar w:fldCharType="begin"/>
      </w:r>
      <w:r>
        <w:rPr>
          <w:lang w:val="en-US"/>
        </w:rPr>
        <w:instrText xml:space="preserve"> REF _Ref326258138 \h </w:instrText>
      </w:r>
      <w:r w:rsidR="00575CA7">
        <w:rPr>
          <w:lang w:val="en-US"/>
        </w:rPr>
      </w:r>
      <w:r w:rsidR="00575CA7">
        <w:rPr>
          <w:lang w:val="en-US"/>
        </w:rPr>
        <w:fldChar w:fldCharType="separate"/>
      </w:r>
      <w:r w:rsidR="003648B8">
        <w:t xml:space="preserve">Figure </w:t>
      </w:r>
      <w:r w:rsidR="003648B8">
        <w:rPr>
          <w:noProof/>
        </w:rPr>
        <w:t>126</w:t>
      </w:r>
      <w:r w:rsidR="00575CA7">
        <w:rPr>
          <w:lang w:val="en-US"/>
        </w:rPr>
        <w:fldChar w:fldCharType="end"/>
      </w:r>
      <w:r>
        <w:rPr>
          <w:lang w:val="en-US"/>
        </w:rPr>
        <w:t>). Collectively, these map overlays allowed us to construct a master mask (</w:t>
      </w:r>
      <w:r w:rsidR="00575CA7">
        <w:rPr>
          <w:lang w:val="en-US"/>
        </w:rPr>
        <w:fldChar w:fldCharType="begin"/>
      </w:r>
      <w:r>
        <w:rPr>
          <w:lang w:val="en-US"/>
        </w:rPr>
        <w:instrText xml:space="preserve"> REF _Ref326258138 \h </w:instrText>
      </w:r>
      <w:r w:rsidR="00575CA7">
        <w:rPr>
          <w:lang w:val="en-US"/>
        </w:rPr>
      </w:r>
      <w:r w:rsidR="00575CA7">
        <w:rPr>
          <w:lang w:val="en-US"/>
        </w:rPr>
        <w:fldChar w:fldCharType="separate"/>
      </w:r>
      <w:r w:rsidR="003648B8">
        <w:t xml:space="preserve">Figure </w:t>
      </w:r>
      <w:r w:rsidR="003648B8">
        <w:rPr>
          <w:noProof/>
        </w:rPr>
        <w:t>126</w:t>
      </w:r>
      <w:r w:rsidR="00575CA7">
        <w:rPr>
          <w:lang w:val="en-US"/>
        </w:rPr>
        <w:fldChar w:fldCharType="end"/>
      </w:r>
      <w:r>
        <w:rPr>
          <w:lang w:val="en-US"/>
        </w:rPr>
        <w:t>) that spatially constrained all future bitumen and heavy oil development (seismic lines, wellpads, access roads, pipelines, processing plants)</w:t>
      </w:r>
      <w:r w:rsidR="00727A6E">
        <w:rPr>
          <w:lang w:val="en-US"/>
        </w:rPr>
        <w:t>.</w:t>
      </w:r>
    </w:p>
    <w:p w:rsidR="00727A6E" w:rsidRDefault="00727A6E" w:rsidP="00B70B31">
      <w:pPr>
        <w:pStyle w:val="BodyText"/>
        <w:rPr>
          <w:lang w:val="en-US"/>
        </w:rPr>
      </w:pPr>
      <w:r>
        <w:rPr>
          <w:lang w:val="en-US"/>
        </w:rPr>
        <w:t>Although oil leases currently exist in the far northern portion of CLFN SA (</w:t>
      </w:r>
      <w:r w:rsidR="00575CA7">
        <w:rPr>
          <w:lang w:val="en-US"/>
        </w:rPr>
        <w:fldChar w:fldCharType="begin"/>
      </w:r>
      <w:r>
        <w:rPr>
          <w:lang w:val="en-US"/>
        </w:rPr>
        <w:instrText xml:space="preserve"> REF _Ref325549989 \h </w:instrText>
      </w:r>
      <w:r w:rsidR="00575CA7">
        <w:rPr>
          <w:lang w:val="en-US"/>
        </w:rPr>
      </w:r>
      <w:r w:rsidR="00575CA7">
        <w:rPr>
          <w:lang w:val="en-US"/>
        </w:rPr>
        <w:fldChar w:fldCharType="separate"/>
      </w:r>
      <w:r w:rsidR="003648B8">
        <w:t xml:space="preserve">Figure </w:t>
      </w:r>
      <w:r w:rsidR="003648B8">
        <w:rPr>
          <w:noProof/>
        </w:rPr>
        <w:t>121</w:t>
      </w:r>
      <w:r w:rsidR="00575CA7">
        <w:rPr>
          <w:lang w:val="en-US"/>
        </w:rPr>
        <w:fldChar w:fldCharType="end"/>
      </w:r>
      <w:r>
        <w:rPr>
          <w:lang w:val="en-US"/>
        </w:rPr>
        <w:t xml:space="preserve">), </w:t>
      </w:r>
      <w:r w:rsidR="00FF455E">
        <w:rPr>
          <w:lang w:val="en-US"/>
        </w:rPr>
        <w:t>uncertainty concerning the underlying oil reserve metrics leads</w:t>
      </w:r>
      <w:r>
        <w:rPr>
          <w:lang w:val="en-US"/>
        </w:rPr>
        <w:t xml:space="preserve"> to a decision by the CLFN ALCES analysts to adopt a conservative decision and not develop these regions further.</w:t>
      </w:r>
    </w:p>
    <w:p w:rsidR="00727A6E" w:rsidRDefault="00727A6E" w:rsidP="00B70B31">
      <w:pPr>
        <w:pStyle w:val="BodyText"/>
        <w:rPr>
          <w:lang w:val="en-US"/>
        </w:rPr>
      </w:pPr>
      <w:r>
        <w:rPr>
          <w:lang w:val="en-US"/>
        </w:rPr>
        <w:t>The CLFN SA inclusionary mask for future heavy oil/bitumen development is contrasted against historical production wells and the Traditional Territory of CLFN (</w:t>
      </w:r>
      <w:r w:rsidR="00575CA7">
        <w:rPr>
          <w:lang w:val="en-US"/>
        </w:rPr>
        <w:fldChar w:fldCharType="begin"/>
      </w:r>
      <w:r>
        <w:rPr>
          <w:lang w:val="en-US"/>
        </w:rPr>
        <w:instrText xml:space="preserve"> REF _Ref326258610 \h </w:instrText>
      </w:r>
      <w:r w:rsidR="00575CA7">
        <w:rPr>
          <w:lang w:val="en-US"/>
        </w:rPr>
      </w:r>
      <w:r w:rsidR="00575CA7">
        <w:rPr>
          <w:lang w:val="en-US"/>
        </w:rPr>
        <w:fldChar w:fldCharType="separate"/>
      </w:r>
      <w:r w:rsidR="003648B8">
        <w:t xml:space="preserve">Figure </w:t>
      </w:r>
      <w:r w:rsidR="003648B8">
        <w:rPr>
          <w:noProof/>
        </w:rPr>
        <w:t>127</w:t>
      </w:r>
      <w:r w:rsidR="00575CA7">
        <w:rPr>
          <w:lang w:val="en-US"/>
        </w:rPr>
        <w:fldChar w:fldCharType="end"/>
      </w:r>
      <w:r>
        <w:rPr>
          <w:lang w:val="en-US"/>
        </w:rPr>
        <w:t xml:space="preserve">). Summary metrics of hydrocarbon in-place volumes, recovery rates, and final recoverable volumes are provided in </w:t>
      </w:r>
      <w:r w:rsidR="00575CA7">
        <w:rPr>
          <w:lang w:val="en-US"/>
        </w:rPr>
        <w:fldChar w:fldCharType="begin"/>
      </w:r>
      <w:r>
        <w:rPr>
          <w:lang w:val="en-US"/>
        </w:rPr>
        <w:instrText xml:space="preserve"> REF _Ref326258686 \h </w:instrText>
      </w:r>
      <w:r w:rsidR="00575CA7">
        <w:rPr>
          <w:lang w:val="en-US"/>
        </w:rPr>
      </w:r>
      <w:r w:rsidR="00575CA7">
        <w:rPr>
          <w:lang w:val="en-US"/>
        </w:rPr>
        <w:fldChar w:fldCharType="separate"/>
      </w:r>
      <w:r w:rsidR="003648B8">
        <w:t xml:space="preserve">Figure </w:t>
      </w:r>
      <w:r w:rsidR="003648B8">
        <w:rPr>
          <w:noProof/>
        </w:rPr>
        <w:t>128</w:t>
      </w:r>
      <w:r w:rsidR="00575CA7">
        <w:rPr>
          <w:lang w:val="en-US"/>
        </w:rPr>
        <w:fldChar w:fldCharType="end"/>
      </w:r>
      <w:r>
        <w:rPr>
          <w:lang w:val="en-US"/>
        </w:rPr>
        <w:t>.</w:t>
      </w:r>
    </w:p>
    <w:p w:rsidR="003F47AF" w:rsidRDefault="003F47AF" w:rsidP="003F47AF">
      <w:pPr>
        <w:pStyle w:val="BodyText"/>
        <w:keepNext/>
        <w:spacing w:after="0"/>
      </w:pPr>
      <w:r>
        <w:rPr>
          <w:noProof/>
          <w:lang w:val="en-US"/>
        </w:rPr>
        <w:drawing>
          <wp:inline distT="0" distB="0" distL="0" distR="0">
            <wp:extent cx="4764754" cy="3600000"/>
            <wp:effectExtent l="19050" t="19050" r="16796" b="19500"/>
            <wp:docPr id="7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cstate="print"/>
                    <a:srcRect/>
                    <a:stretch>
                      <a:fillRect/>
                    </a:stretch>
                  </pic:blipFill>
                  <pic:spPr bwMode="auto">
                    <a:xfrm>
                      <a:off x="0" y="0"/>
                      <a:ext cx="4764754"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3F47AF" w:rsidRDefault="003F47AF" w:rsidP="003F47AF">
      <w:pPr>
        <w:pStyle w:val="Caption"/>
      </w:pPr>
      <w:bookmarkStart w:id="345" w:name="_Ref326256512"/>
      <w:bookmarkStart w:id="346" w:name="_Toc338703899"/>
      <w:proofErr w:type="gramStart"/>
      <w:r>
        <w:t xml:space="preserve">Figure </w:t>
      </w:r>
      <w:fldSimple w:instr=" SEQ Figure \* ARABIC ">
        <w:r w:rsidR="00A02D22">
          <w:rPr>
            <w:noProof/>
          </w:rPr>
          <w:t>120</w:t>
        </w:r>
      </w:fldSimple>
      <w:bookmarkEnd w:id="345"/>
      <w:r>
        <w:t>.</w:t>
      </w:r>
      <w:proofErr w:type="gramEnd"/>
      <w:r>
        <w:t xml:space="preserve"> </w:t>
      </w:r>
      <w:proofErr w:type="gramStart"/>
      <w:r>
        <w:t>Generalized diagram of Hubbert-Naill Life History hydrocarbon development trajectory as used in the CLFN ALCES simulator.</w:t>
      </w:r>
      <w:bookmarkEnd w:id="346"/>
      <w:proofErr w:type="gramEnd"/>
    </w:p>
    <w:p w:rsidR="009063BD" w:rsidRPr="009063BD" w:rsidRDefault="009063BD" w:rsidP="009063BD">
      <w:pPr>
        <w:rPr>
          <w:lang w:eastAsia="en-CA"/>
        </w:rPr>
      </w:pPr>
    </w:p>
    <w:p w:rsidR="009063BD" w:rsidRDefault="00C96A5B" w:rsidP="009063BD">
      <w:pPr>
        <w:keepNext/>
      </w:pPr>
      <w:r>
        <w:rPr>
          <w:noProof/>
          <w:lang w:val="en-US"/>
        </w:rPr>
        <w:lastRenderedPageBreak/>
        <w:drawing>
          <wp:inline distT="0" distB="0" distL="0" distR="0">
            <wp:extent cx="4770368" cy="3600000"/>
            <wp:effectExtent l="19050" t="19050" r="11182" b="19500"/>
            <wp:docPr id="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1" cstate="print"/>
                    <a:srcRect/>
                    <a:stretch>
                      <a:fillRect/>
                    </a:stretch>
                  </pic:blipFill>
                  <pic:spPr bwMode="auto">
                    <a:xfrm>
                      <a:off x="0" y="0"/>
                      <a:ext cx="4770368"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9063BD" w:rsidRDefault="009063BD" w:rsidP="009063BD">
      <w:pPr>
        <w:pStyle w:val="Caption"/>
      </w:pPr>
      <w:bookmarkStart w:id="347" w:name="_Ref325549989"/>
      <w:bookmarkStart w:id="348" w:name="_Toc338703900"/>
      <w:proofErr w:type="gramStart"/>
      <w:r>
        <w:t xml:space="preserve">Figure </w:t>
      </w:r>
      <w:fldSimple w:instr=" SEQ Figure \* ARABIC ">
        <w:r w:rsidR="00A02D22">
          <w:rPr>
            <w:noProof/>
          </w:rPr>
          <w:t>121</w:t>
        </w:r>
      </w:fldSimple>
      <w:bookmarkEnd w:id="347"/>
      <w:r>
        <w:t>.</w:t>
      </w:r>
      <w:proofErr w:type="gramEnd"/>
      <w:r>
        <w:t xml:space="preserve"> Current oilsand leases on CLFN traditional lands. Source: Alberta Energy.</w:t>
      </w:r>
      <w:bookmarkEnd w:id="348"/>
    </w:p>
    <w:p w:rsidR="009063BD" w:rsidRPr="009063BD" w:rsidRDefault="009063BD" w:rsidP="009063BD">
      <w:pPr>
        <w:rPr>
          <w:lang w:eastAsia="en-CA"/>
        </w:rPr>
      </w:pPr>
    </w:p>
    <w:p w:rsidR="00DD33C3" w:rsidRPr="00DD33C3" w:rsidRDefault="00DD33C3" w:rsidP="00DD33C3">
      <w:pPr>
        <w:rPr>
          <w:lang w:eastAsia="en-CA"/>
        </w:rPr>
      </w:pPr>
    </w:p>
    <w:p w:rsidR="00640BF7" w:rsidRDefault="00840AB3" w:rsidP="003754CD">
      <w:pPr>
        <w:pStyle w:val="BodyText"/>
        <w:keepNext/>
        <w:spacing w:after="0"/>
      </w:pPr>
      <w:r>
        <w:rPr>
          <w:noProof/>
          <w:lang w:val="en-US"/>
        </w:rPr>
        <w:drawing>
          <wp:inline distT="0" distB="0" distL="0" distR="0">
            <wp:extent cx="4738821" cy="3600000"/>
            <wp:effectExtent l="19050" t="19050" r="23679" b="19500"/>
            <wp:docPr id="7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srcRect/>
                    <a:stretch>
                      <a:fillRect/>
                    </a:stretch>
                  </pic:blipFill>
                  <pic:spPr bwMode="auto">
                    <a:xfrm>
                      <a:off x="0" y="0"/>
                      <a:ext cx="4738821"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640BF7" w:rsidRDefault="00640BF7" w:rsidP="00640BF7">
      <w:pPr>
        <w:pStyle w:val="Caption"/>
        <w:rPr>
          <w:lang w:val="en-US"/>
        </w:rPr>
      </w:pPr>
      <w:bookmarkStart w:id="349" w:name="_Ref326167909"/>
      <w:bookmarkStart w:id="350" w:name="_Toc338703901"/>
      <w:proofErr w:type="gramStart"/>
      <w:r>
        <w:t xml:space="preserve">Figure </w:t>
      </w:r>
      <w:fldSimple w:instr=" SEQ Figure \* ARABIC ">
        <w:r w:rsidR="00A02D22">
          <w:rPr>
            <w:noProof/>
          </w:rPr>
          <w:t>122</w:t>
        </w:r>
      </w:fldSimple>
      <w:bookmarkEnd w:id="349"/>
      <w:r>
        <w:t>.</w:t>
      </w:r>
      <w:proofErr w:type="gramEnd"/>
      <w:r>
        <w:t xml:space="preserve"> Hydrocarbon reserve metrics</w:t>
      </w:r>
      <w:r w:rsidR="007C63BA">
        <w:t xml:space="preserve"> for CLFN SA</w:t>
      </w:r>
      <w:r>
        <w:t>. Source: Birchwood Resources, 2012.</w:t>
      </w:r>
      <w:bookmarkEnd w:id="350"/>
    </w:p>
    <w:p w:rsidR="00640BF7" w:rsidRDefault="0048787F" w:rsidP="00640BF7">
      <w:pPr>
        <w:keepNext/>
      </w:pPr>
      <w:r>
        <w:rPr>
          <w:noProof/>
          <w:lang w:val="en-US"/>
        </w:rPr>
        <w:lastRenderedPageBreak/>
        <w:drawing>
          <wp:inline distT="0" distB="0" distL="0" distR="0">
            <wp:extent cx="4752145" cy="3600000"/>
            <wp:effectExtent l="19050" t="19050" r="10355" b="19500"/>
            <wp:docPr id="8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3" cstate="print"/>
                    <a:srcRect/>
                    <a:stretch>
                      <a:fillRect/>
                    </a:stretch>
                  </pic:blipFill>
                  <pic:spPr bwMode="auto">
                    <a:xfrm>
                      <a:off x="0" y="0"/>
                      <a:ext cx="4752145"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640BF7" w:rsidRDefault="00640BF7" w:rsidP="00640BF7">
      <w:pPr>
        <w:pStyle w:val="Caption"/>
      </w:pPr>
      <w:bookmarkStart w:id="351" w:name="_Ref326167932"/>
      <w:bookmarkStart w:id="352" w:name="_Toc338703902"/>
      <w:proofErr w:type="gramStart"/>
      <w:r>
        <w:t xml:space="preserve">Figure </w:t>
      </w:r>
      <w:fldSimple w:instr=" SEQ Figure \* ARABIC ">
        <w:r w:rsidR="00A02D22">
          <w:rPr>
            <w:noProof/>
          </w:rPr>
          <w:t>123</w:t>
        </w:r>
      </w:fldSimple>
      <w:bookmarkEnd w:id="351"/>
      <w:r>
        <w:t>.</w:t>
      </w:r>
      <w:proofErr w:type="gramEnd"/>
      <w:r>
        <w:t xml:space="preserve"> </w:t>
      </w:r>
      <w:proofErr w:type="gramStart"/>
      <w:r>
        <w:t>General reserve volume information of th</w:t>
      </w:r>
      <w:r w:rsidR="007C63BA">
        <w:t>e Upper and Lower Grand Rapids d</w:t>
      </w:r>
      <w:r>
        <w:t>eposit</w:t>
      </w:r>
      <w:r w:rsidR="007C63BA">
        <w:t>s</w:t>
      </w:r>
      <w:r>
        <w:t>.</w:t>
      </w:r>
      <w:bookmarkEnd w:id="352"/>
      <w:proofErr w:type="gramEnd"/>
    </w:p>
    <w:p w:rsidR="00EF3ABB" w:rsidRPr="00EF3ABB" w:rsidRDefault="00EF3ABB" w:rsidP="00EF3ABB">
      <w:pPr>
        <w:rPr>
          <w:lang w:eastAsia="en-CA"/>
        </w:rPr>
      </w:pPr>
    </w:p>
    <w:p w:rsidR="00640BF7" w:rsidRDefault="00640BF7" w:rsidP="00640BF7">
      <w:pPr>
        <w:pStyle w:val="Caption"/>
      </w:pPr>
    </w:p>
    <w:p w:rsidR="00640BF7" w:rsidRDefault="0048787F" w:rsidP="00640BF7">
      <w:pPr>
        <w:keepNext/>
      </w:pPr>
      <w:r>
        <w:rPr>
          <w:noProof/>
          <w:lang w:val="en-US"/>
        </w:rPr>
        <w:drawing>
          <wp:inline distT="0" distB="0" distL="0" distR="0">
            <wp:extent cx="4769944" cy="3600000"/>
            <wp:effectExtent l="19050" t="19050" r="11606" b="19500"/>
            <wp:docPr id="8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4" cstate="print"/>
                    <a:srcRect/>
                    <a:stretch>
                      <a:fillRect/>
                    </a:stretch>
                  </pic:blipFill>
                  <pic:spPr bwMode="auto">
                    <a:xfrm>
                      <a:off x="0" y="0"/>
                      <a:ext cx="4769944"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640BF7" w:rsidRPr="00F43CF2" w:rsidRDefault="00640BF7" w:rsidP="00640BF7">
      <w:pPr>
        <w:pStyle w:val="Caption"/>
      </w:pPr>
      <w:bookmarkStart w:id="353" w:name="_Ref326167934"/>
      <w:bookmarkStart w:id="354" w:name="_Toc338703903"/>
      <w:proofErr w:type="gramStart"/>
      <w:r>
        <w:t xml:space="preserve">Figure </w:t>
      </w:r>
      <w:fldSimple w:instr=" SEQ Figure \* ARABIC ">
        <w:r w:rsidR="00A02D22">
          <w:rPr>
            <w:noProof/>
          </w:rPr>
          <w:t>124</w:t>
        </w:r>
      </w:fldSimple>
      <w:bookmarkEnd w:id="353"/>
      <w:r>
        <w:t>.</w:t>
      </w:r>
      <w:proofErr w:type="gramEnd"/>
      <w:r>
        <w:t xml:space="preserve"> </w:t>
      </w:r>
      <w:proofErr w:type="gramStart"/>
      <w:r>
        <w:t>General reserve volume informati</w:t>
      </w:r>
      <w:r w:rsidR="007C63BA">
        <w:t>on of the Cold Lake Clearwater d</w:t>
      </w:r>
      <w:r>
        <w:t>eposit.</w:t>
      </w:r>
      <w:bookmarkEnd w:id="354"/>
      <w:proofErr w:type="gramEnd"/>
    </w:p>
    <w:p w:rsidR="00640BF7" w:rsidRDefault="00640BF7" w:rsidP="00640BF7">
      <w:pPr>
        <w:pStyle w:val="Caption"/>
      </w:pPr>
    </w:p>
    <w:p w:rsidR="00640BF7" w:rsidRDefault="00C96A5B" w:rsidP="00640BF7">
      <w:pPr>
        <w:keepNext/>
      </w:pPr>
      <w:r>
        <w:rPr>
          <w:noProof/>
          <w:lang w:val="en-US"/>
        </w:rPr>
        <w:lastRenderedPageBreak/>
        <w:drawing>
          <wp:inline distT="0" distB="0" distL="0" distR="0">
            <wp:extent cx="4783402" cy="3600000"/>
            <wp:effectExtent l="19050" t="19050" r="17198" b="19500"/>
            <wp:docPr id="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5" cstate="print"/>
                    <a:srcRect/>
                    <a:stretch>
                      <a:fillRect/>
                    </a:stretch>
                  </pic:blipFill>
                  <pic:spPr bwMode="auto">
                    <a:xfrm>
                      <a:off x="0" y="0"/>
                      <a:ext cx="4783402"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640BF7" w:rsidRDefault="00640BF7" w:rsidP="00640BF7">
      <w:pPr>
        <w:pStyle w:val="Caption"/>
      </w:pPr>
      <w:bookmarkStart w:id="355" w:name="_Ref326167937"/>
      <w:bookmarkStart w:id="356" w:name="_Toc338703904"/>
      <w:proofErr w:type="gramStart"/>
      <w:r>
        <w:t xml:space="preserve">Figure </w:t>
      </w:r>
      <w:fldSimple w:instr=" SEQ Figure \* ARABIC ">
        <w:r w:rsidR="00A02D22">
          <w:rPr>
            <w:noProof/>
          </w:rPr>
          <w:t>125</w:t>
        </w:r>
      </w:fldSimple>
      <w:bookmarkEnd w:id="355"/>
      <w:r>
        <w:t>.</w:t>
      </w:r>
      <w:proofErr w:type="gramEnd"/>
      <w:r>
        <w:t xml:space="preserve"> </w:t>
      </w:r>
      <w:proofErr w:type="gramStart"/>
      <w:r>
        <w:t>General reserve volume information of the Wabisk</w:t>
      </w:r>
      <w:r w:rsidR="007C63BA">
        <w:t>aw McMurray d</w:t>
      </w:r>
      <w:r>
        <w:t>eposit.</w:t>
      </w:r>
      <w:bookmarkEnd w:id="356"/>
      <w:proofErr w:type="gramEnd"/>
    </w:p>
    <w:p w:rsidR="00EF3ABB" w:rsidRPr="00EF3ABB" w:rsidRDefault="00EF3ABB" w:rsidP="00EF3ABB">
      <w:pPr>
        <w:rPr>
          <w:lang w:eastAsia="en-CA"/>
        </w:rPr>
      </w:pPr>
    </w:p>
    <w:p w:rsidR="00640BF7" w:rsidRDefault="00640BF7" w:rsidP="00640BF7">
      <w:pPr>
        <w:keepNext/>
      </w:pPr>
      <w:r>
        <w:rPr>
          <w:noProof/>
          <w:lang w:val="en-US"/>
        </w:rPr>
        <w:drawing>
          <wp:inline distT="0" distB="0" distL="0" distR="0">
            <wp:extent cx="4760863" cy="3600000"/>
            <wp:effectExtent l="19050" t="19050" r="20687" b="19500"/>
            <wp:docPr id="21"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46" cstate="print"/>
                    <a:srcRect/>
                    <a:stretch>
                      <a:fillRect/>
                    </a:stretch>
                  </pic:blipFill>
                  <pic:spPr bwMode="auto">
                    <a:xfrm>
                      <a:off x="0" y="0"/>
                      <a:ext cx="4760863"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640BF7" w:rsidRDefault="00640BF7" w:rsidP="00640BF7">
      <w:pPr>
        <w:pStyle w:val="Caption"/>
      </w:pPr>
      <w:bookmarkStart w:id="357" w:name="_Ref326258138"/>
      <w:bookmarkStart w:id="358" w:name="_Toc338703905"/>
      <w:proofErr w:type="gramStart"/>
      <w:r>
        <w:t xml:space="preserve">Figure </w:t>
      </w:r>
      <w:fldSimple w:instr=" SEQ Figure \* ARABIC ">
        <w:r w:rsidR="00A02D22">
          <w:rPr>
            <w:noProof/>
          </w:rPr>
          <w:t>126</w:t>
        </w:r>
      </w:fldSimple>
      <w:bookmarkEnd w:id="357"/>
      <w:r>
        <w:t>.</w:t>
      </w:r>
      <w:proofErr w:type="gramEnd"/>
      <w:r>
        <w:t xml:space="preserve"> Overlay of individual deposits (Upper and Lower Grand Rapids, Cold Lake Clearwater and Wabiskaw/Ft. McMurray) (left) and composite map used to confine future growth of wells on CLFN</w:t>
      </w:r>
      <w:r w:rsidR="007C63BA">
        <w:t xml:space="preserve"> SA</w:t>
      </w:r>
      <w:r>
        <w:t>.</w:t>
      </w:r>
      <w:bookmarkEnd w:id="358"/>
      <w:r>
        <w:t xml:space="preserve"> </w:t>
      </w:r>
    </w:p>
    <w:p w:rsidR="00640BF7" w:rsidRDefault="00EF0C17" w:rsidP="00640BF7">
      <w:pPr>
        <w:keepNext/>
      </w:pPr>
      <w:r>
        <w:rPr>
          <w:noProof/>
          <w:lang w:val="en-US"/>
        </w:rPr>
        <w:lastRenderedPageBreak/>
        <w:drawing>
          <wp:inline distT="0" distB="0" distL="0" distR="0">
            <wp:extent cx="4817735" cy="3600000"/>
            <wp:effectExtent l="19050" t="19050" r="20965" b="19500"/>
            <wp:docPr id="74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7" cstate="print"/>
                    <a:srcRect/>
                    <a:stretch>
                      <a:fillRect/>
                    </a:stretch>
                  </pic:blipFill>
                  <pic:spPr bwMode="auto">
                    <a:xfrm>
                      <a:off x="0" y="0"/>
                      <a:ext cx="4817735"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640BF7" w:rsidRDefault="00640BF7" w:rsidP="00640BF7">
      <w:pPr>
        <w:pStyle w:val="Caption"/>
      </w:pPr>
      <w:bookmarkStart w:id="359" w:name="_Ref326258610"/>
      <w:bookmarkStart w:id="360" w:name="_Toc338703906"/>
      <w:proofErr w:type="gramStart"/>
      <w:r>
        <w:t xml:space="preserve">Figure </w:t>
      </w:r>
      <w:fldSimple w:instr=" SEQ Figure \* ARABIC ">
        <w:r w:rsidR="00A02D22">
          <w:rPr>
            <w:noProof/>
          </w:rPr>
          <w:t>127</w:t>
        </w:r>
      </w:fldSimple>
      <w:bookmarkEnd w:id="359"/>
      <w:r w:rsidR="007C63BA">
        <w:t>.</w:t>
      </w:r>
      <w:proofErr w:type="gramEnd"/>
      <w:r w:rsidR="007C63BA">
        <w:t xml:space="preserve"> Comparison of composite CLFN SA map heavy oil/bitumen with existing bitumen and heavy oil wells in the Cold Lake region of Alberta.</w:t>
      </w:r>
      <w:bookmarkEnd w:id="360"/>
    </w:p>
    <w:p w:rsidR="00D3697A" w:rsidRPr="00D3697A" w:rsidRDefault="00D3697A" w:rsidP="00D3697A">
      <w:pPr>
        <w:rPr>
          <w:lang w:eastAsia="en-CA"/>
        </w:rPr>
      </w:pPr>
    </w:p>
    <w:p w:rsidR="00640BF7" w:rsidRDefault="008E21BF" w:rsidP="006401D8">
      <w:pPr>
        <w:pStyle w:val="BodyText"/>
        <w:keepNext/>
        <w:spacing w:after="0"/>
      </w:pPr>
      <w:r>
        <w:rPr>
          <w:noProof/>
          <w:lang w:val="en-US"/>
        </w:rPr>
        <w:drawing>
          <wp:inline distT="0" distB="0" distL="0" distR="0">
            <wp:extent cx="4788915" cy="3600000"/>
            <wp:effectExtent l="19050" t="19050" r="11685" b="1950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print"/>
                    <a:srcRect/>
                    <a:stretch>
                      <a:fillRect/>
                    </a:stretch>
                  </pic:blipFill>
                  <pic:spPr bwMode="auto">
                    <a:xfrm>
                      <a:off x="0" y="0"/>
                      <a:ext cx="4788915"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640BF7" w:rsidRDefault="00640BF7" w:rsidP="00640BF7">
      <w:pPr>
        <w:pStyle w:val="Caption"/>
      </w:pPr>
      <w:bookmarkStart w:id="361" w:name="_Ref326258686"/>
      <w:bookmarkStart w:id="362" w:name="_Toc338703907"/>
      <w:proofErr w:type="gramStart"/>
      <w:r>
        <w:t xml:space="preserve">Figure </w:t>
      </w:r>
      <w:fldSimple w:instr=" SEQ Figure \* ARABIC ">
        <w:r w:rsidR="00A02D22">
          <w:rPr>
            <w:noProof/>
          </w:rPr>
          <w:t>128</w:t>
        </w:r>
      </w:fldSimple>
      <w:bookmarkEnd w:id="361"/>
      <w:r>
        <w:t>.</w:t>
      </w:r>
      <w:proofErr w:type="gramEnd"/>
      <w:r>
        <w:t xml:space="preserve"> Heavy oil and bitumen reserve data relating to CLFN</w:t>
      </w:r>
      <w:r w:rsidR="00EF0C17">
        <w:t xml:space="preserve"> SA</w:t>
      </w:r>
      <w:r>
        <w:t xml:space="preserve"> provided by Birchwood Resources.</w:t>
      </w:r>
      <w:bookmarkEnd w:id="362"/>
    </w:p>
    <w:p w:rsidR="00640BF7" w:rsidRDefault="008E21BF" w:rsidP="006401D8">
      <w:pPr>
        <w:pStyle w:val="BodyText"/>
        <w:keepNext/>
        <w:spacing w:after="0"/>
      </w:pPr>
      <w:r>
        <w:rPr>
          <w:noProof/>
          <w:lang w:val="en-US"/>
        </w:rPr>
        <w:lastRenderedPageBreak/>
        <w:drawing>
          <wp:inline distT="0" distB="0" distL="0" distR="0">
            <wp:extent cx="4800000" cy="3600000"/>
            <wp:effectExtent l="19050" t="19050" r="19650" b="1950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cstate="print"/>
                    <a:srcRect/>
                    <a:stretch>
                      <a:fillRect/>
                    </a:stretch>
                  </pic:blipFill>
                  <pic:spPr bwMode="auto">
                    <a:xfrm>
                      <a:off x="0" y="0"/>
                      <a:ext cx="4800000"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640BF7" w:rsidRDefault="00640BF7" w:rsidP="00640BF7">
      <w:pPr>
        <w:pStyle w:val="Caption"/>
      </w:pPr>
      <w:bookmarkStart w:id="363" w:name="_Ref326009530"/>
      <w:bookmarkStart w:id="364" w:name="_Toc338703908"/>
      <w:proofErr w:type="gramStart"/>
      <w:r>
        <w:t xml:space="preserve">Figure </w:t>
      </w:r>
      <w:fldSimple w:instr=" SEQ Figure \* ARABIC ">
        <w:r w:rsidR="00A02D22">
          <w:rPr>
            <w:noProof/>
          </w:rPr>
          <w:t>129</w:t>
        </w:r>
      </w:fldSimple>
      <w:bookmarkEnd w:id="363"/>
      <w:r>
        <w:t>.</w:t>
      </w:r>
      <w:proofErr w:type="gramEnd"/>
      <w:r>
        <w:t xml:space="preserve"> </w:t>
      </w:r>
      <w:proofErr w:type="gramStart"/>
      <w:r>
        <w:t>Well and wellpad metrics</w:t>
      </w:r>
      <w:r w:rsidR="00EF0C17">
        <w:t xml:space="preserve"> used in CLFN SA </w:t>
      </w:r>
      <w:r w:rsidR="003B6796">
        <w:t>ALCES</w:t>
      </w:r>
      <w:r w:rsidR="00EF0C17">
        <w:t xml:space="preserve"> simulator</w:t>
      </w:r>
      <w:r>
        <w:t>.</w:t>
      </w:r>
      <w:proofErr w:type="gramEnd"/>
      <w:r>
        <w:t xml:space="preserve"> Source: Birchwood Resources, </w:t>
      </w:r>
      <w:r w:rsidR="00E05350">
        <w:t xml:space="preserve">Calgary, Alberta, </w:t>
      </w:r>
      <w:r>
        <w:t>2012.</w:t>
      </w:r>
      <w:bookmarkEnd w:id="364"/>
    </w:p>
    <w:p w:rsidR="00EF3ABB" w:rsidRPr="00EF3ABB" w:rsidRDefault="00EF3ABB" w:rsidP="00EF3ABB">
      <w:pPr>
        <w:rPr>
          <w:lang w:eastAsia="en-CA"/>
        </w:rPr>
      </w:pPr>
    </w:p>
    <w:p w:rsidR="00640BF7" w:rsidRDefault="00640BF7" w:rsidP="006401D8">
      <w:pPr>
        <w:pStyle w:val="BodyText"/>
        <w:keepNext/>
        <w:spacing w:after="0"/>
      </w:pPr>
      <w:r>
        <w:rPr>
          <w:noProof/>
          <w:lang w:val="en-US"/>
        </w:rPr>
        <w:drawing>
          <wp:inline distT="0" distB="0" distL="0" distR="0">
            <wp:extent cx="4785552" cy="3600000"/>
            <wp:effectExtent l="19050" t="19050" r="15048" b="19500"/>
            <wp:docPr id="30"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50" cstate="print"/>
                    <a:srcRect/>
                    <a:stretch>
                      <a:fillRect/>
                    </a:stretch>
                  </pic:blipFill>
                  <pic:spPr bwMode="auto">
                    <a:xfrm>
                      <a:off x="0" y="0"/>
                      <a:ext cx="4785552"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640BF7" w:rsidRDefault="00640BF7" w:rsidP="00640BF7">
      <w:pPr>
        <w:pStyle w:val="Caption"/>
      </w:pPr>
      <w:bookmarkStart w:id="365" w:name="_Toc338703909"/>
      <w:proofErr w:type="gramStart"/>
      <w:r>
        <w:t xml:space="preserve">Figure </w:t>
      </w:r>
      <w:fldSimple w:instr=" SEQ Figure \* ARABIC ">
        <w:r w:rsidR="00A02D22">
          <w:rPr>
            <w:noProof/>
          </w:rPr>
          <w:t>130</w:t>
        </w:r>
      </w:fldSimple>
      <w:r>
        <w:t>.</w:t>
      </w:r>
      <w:proofErr w:type="gramEnd"/>
      <w:r>
        <w:t xml:space="preserve"> Seismic line and pipeline metrics</w:t>
      </w:r>
      <w:r w:rsidR="00EF0C17">
        <w:t xml:space="preserve"> in CLFN SA Alces simulator</w:t>
      </w:r>
      <w:r>
        <w:t xml:space="preserve">: Source: Birchwood Resources, </w:t>
      </w:r>
      <w:r w:rsidR="00E05350">
        <w:t xml:space="preserve">Calgary, Alberta, </w:t>
      </w:r>
      <w:r>
        <w:t>2012.</w:t>
      </w:r>
      <w:bookmarkEnd w:id="365"/>
    </w:p>
    <w:p w:rsidR="00640BF7" w:rsidRDefault="008E21BF" w:rsidP="006401D8">
      <w:pPr>
        <w:keepNext/>
      </w:pPr>
      <w:r>
        <w:rPr>
          <w:noProof/>
          <w:lang w:val="en-US"/>
        </w:rPr>
        <w:lastRenderedPageBreak/>
        <w:drawing>
          <wp:inline distT="0" distB="0" distL="0" distR="0">
            <wp:extent cx="4788915" cy="3600000"/>
            <wp:effectExtent l="19050" t="19050" r="11685" b="19500"/>
            <wp:docPr id="7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cstate="print"/>
                    <a:srcRect/>
                    <a:stretch>
                      <a:fillRect/>
                    </a:stretch>
                  </pic:blipFill>
                  <pic:spPr bwMode="auto">
                    <a:xfrm>
                      <a:off x="0" y="0"/>
                      <a:ext cx="4788915"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640BF7" w:rsidRDefault="00640BF7" w:rsidP="00640BF7">
      <w:pPr>
        <w:pStyle w:val="Caption"/>
      </w:pPr>
      <w:bookmarkStart w:id="366" w:name="_Toc338703910"/>
      <w:proofErr w:type="gramStart"/>
      <w:r>
        <w:t xml:space="preserve">Figure </w:t>
      </w:r>
      <w:fldSimple w:instr=" SEQ Figure \* ARABIC ">
        <w:r w:rsidR="00A02D22">
          <w:rPr>
            <w:noProof/>
          </w:rPr>
          <w:t>131</w:t>
        </w:r>
      </w:fldSimple>
      <w:r>
        <w:t>.</w:t>
      </w:r>
      <w:proofErr w:type="gramEnd"/>
      <w:r>
        <w:t xml:space="preserve"> Summary </w:t>
      </w:r>
      <w:r w:rsidR="00DF0396">
        <w:t>of heavy oil and bitumen volume metrics</w:t>
      </w:r>
      <w:r>
        <w:t xml:space="preserve"> in CLFN </w:t>
      </w:r>
      <w:r w:rsidR="00EF0C17">
        <w:t>SA</w:t>
      </w:r>
      <w:r>
        <w:t>.</w:t>
      </w:r>
      <w:r w:rsidR="00E05350">
        <w:t xml:space="preserve"> Source: Birchwood Resources, Calgary, Alberta.</w:t>
      </w:r>
      <w:bookmarkEnd w:id="366"/>
    </w:p>
    <w:p w:rsidR="00C6313D" w:rsidRDefault="00C6313D" w:rsidP="00C6313D">
      <w:pPr>
        <w:rPr>
          <w:lang w:eastAsia="en-CA"/>
        </w:rPr>
      </w:pPr>
    </w:p>
    <w:p w:rsidR="00DA6585" w:rsidRDefault="00DA6585" w:rsidP="00DA6585">
      <w:pPr>
        <w:pStyle w:val="Heading3"/>
      </w:pPr>
      <w:bookmarkStart w:id="367" w:name="_Toc338703734"/>
      <w:r>
        <w:t>Military</w:t>
      </w:r>
      <w:bookmarkEnd w:id="367"/>
    </w:p>
    <w:p w:rsidR="008A7F47" w:rsidRDefault="008A7F47" w:rsidP="008A7F47">
      <w:pPr>
        <w:pStyle w:val="BodyText"/>
        <w:rPr>
          <w:lang w:val="en-US"/>
        </w:rPr>
      </w:pPr>
      <w:r>
        <w:rPr>
          <w:lang w:val="en-US"/>
        </w:rPr>
        <w:t xml:space="preserve">The </w:t>
      </w:r>
      <w:r w:rsidR="00727A6E">
        <w:rPr>
          <w:lang w:val="en-US"/>
        </w:rPr>
        <w:t>future “</w:t>
      </w:r>
      <w:r>
        <w:rPr>
          <w:lang w:val="en-US"/>
        </w:rPr>
        <w:t>business as usual</w:t>
      </w:r>
      <w:r w:rsidR="00727A6E">
        <w:rPr>
          <w:lang w:val="en-US"/>
        </w:rPr>
        <w:t>”</w:t>
      </w:r>
      <w:r>
        <w:rPr>
          <w:lang w:val="en-US"/>
        </w:rPr>
        <w:t xml:space="preserve"> scenario </w:t>
      </w:r>
      <w:r w:rsidR="00727A6E">
        <w:rPr>
          <w:lang w:val="en-US"/>
        </w:rPr>
        <w:t xml:space="preserve">for the CLFN SA </w:t>
      </w:r>
      <w:r>
        <w:rPr>
          <w:lang w:val="en-US"/>
        </w:rPr>
        <w:t xml:space="preserve">assumes that the current level of access </w:t>
      </w:r>
      <w:r w:rsidR="00727A6E">
        <w:rPr>
          <w:lang w:val="en-US"/>
        </w:rPr>
        <w:t xml:space="preserve">restrictions of CLFN </w:t>
      </w:r>
      <w:r>
        <w:rPr>
          <w:lang w:val="en-US"/>
        </w:rPr>
        <w:t xml:space="preserve">to CLAWR </w:t>
      </w:r>
      <w:r w:rsidR="00EF3ABB">
        <w:rPr>
          <w:lang w:val="en-US"/>
        </w:rPr>
        <w:t>persists</w:t>
      </w:r>
      <w:r>
        <w:rPr>
          <w:lang w:val="en-US"/>
        </w:rPr>
        <w:t>.</w:t>
      </w:r>
      <w:r w:rsidR="00727A6E">
        <w:rPr>
          <w:lang w:val="en-US"/>
        </w:rPr>
        <w:t xml:space="preserve"> No changes in the size of CLAWR or its boundary occur in this simulation.</w:t>
      </w:r>
    </w:p>
    <w:p w:rsidR="008A7F47" w:rsidRPr="008A7F47" w:rsidRDefault="008A7F47" w:rsidP="008A7F47">
      <w:pPr>
        <w:pStyle w:val="BodyText"/>
        <w:rPr>
          <w:lang w:val="en-US"/>
        </w:rPr>
      </w:pPr>
    </w:p>
    <w:p w:rsidR="00DA6585" w:rsidRDefault="00DA6585" w:rsidP="00DA6585">
      <w:pPr>
        <w:pStyle w:val="Heading3"/>
      </w:pPr>
      <w:bookmarkStart w:id="368" w:name="_Toc338703735"/>
      <w:r>
        <w:t>Transportation</w:t>
      </w:r>
      <w:bookmarkEnd w:id="368"/>
    </w:p>
    <w:p w:rsidR="008A7F47" w:rsidRDefault="008A7F47" w:rsidP="008A7F47">
      <w:pPr>
        <w:pStyle w:val="BodyText"/>
        <w:rPr>
          <w:lang w:val="en-US"/>
        </w:rPr>
      </w:pPr>
      <w:r>
        <w:rPr>
          <w:lang w:val="en-US"/>
        </w:rPr>
        <w:t>The business as usual scenario assumes that there will be no additional public road network constructed, but future roads will be constructed to:</w:t>
      </w:r>
    </w:p>
    <w:p w:rsidR="008A7F47" w:rsidRDefault="008A7F47" w:rsidP="008A7F47">
      <w:pPr>
        <w:pStyle w:val="BodyText"/>
        <w:numPr>
          <w:ilvl w:val="0"/>
          <w:numId w:val="27"/>
        </w:numPr>
        <w:rPr>
          <w:lang w:val="en-US"/>
        </w:rPr>
      </w:pPr>
      <w:r>
        <w:rPr>
          <w:lang w:val="en-US"/>
        </w:rPr>
        <w:t>Access new rural residences</w:t>
      </w:r>
    </w:p>
    <w:p w:rsidR="008A7F47" w:rsidRDefault="008A7F47" w:rsidP="008A7F47">
      <w:pPr>
        <w:pStyle w:val="BodyText"/>
        <w:numPr>
          <w:ilvl w:val="0"/>
          <w:numId w:val="27"/>
        </w:numPr>
        <w:rPr>
          <w:lang w:val="en-US"/>
        </w:rPr>
      </w:pPr>
      <w:r>
        <w:rPr>
          <w:lang w:val="en-US"/>
        </w:rPr>
        <w:t>Access insitu wellpads and infrastructure</w:t>
      </w:r>
    </w:p>
    <w:p w:rsidR="00EF3ABB" w:rsidRDefault="00EF3ABB" w:rsidP="00EF3ABB">
      <w:pPr>
        <w:pStyle w:val="BodyText"/>
        <w:rPr>
          <w:lang w:val="en-US"/>
        </w:rPr>
      </w:pPr>
      <w:r>
        <w:rPr>
          <w:lang w:val="en-US"/>
        </w:rPr>
        <w:t xml:space="preserve">Whereas the public road network and those to rural residences are permanent, the road network for the energy sector is transient and is reclaimed to its original landscape at the conclusion of its lifespan as a </w:t>
      </w:r>
      <w:r w:rsidR="00C544DE">
        <w:rPr>
          <w:lang w:val="en-US"/>
        </w:rPr>
        <w:t>land-use</w:t>
      </w:r>
      <w:r>
        <w:rPr>
          <w:lang w:val="en-US"/>
        </w:rPr>
        <w:t xml:space="preserve"> footprint.</w:t>
      </w:r>
    </w:p>
    <w:p w:rsidR="008A7F47" w:rsidRPr="008A7F47" w:rsidRDefault="008A7F47" w:rsidP="008A7F47">
      <w:pPr>
        <w:pStyle w:val="BodyText"/>
        <w:rPr>
          <w:lang w:val="en-US"/>
        </w:rPr>
      </w:pPr>
    </w:p>
    <w:p w:rsidR="00DA6585" w:rsidRDefault="00DA6585" w:rsidP="00DA6585">
      <w:pPr>
        <w:pStyle w:val="Heading3"/>
      </w:pPr>
      <w:bookmarkStart w:id="369" w:name="_Toc338703736"/>
      <w:r>
        <w:lastRenderedPageBreak/>
        <w:t>Protected Areas</w:t>
      </w:r>
      <w:bookmarkEnd w:id="369"/>
    </w:p>
    <w:p w:rsidR="008A7F47" w:rsidRPr="008A7F47" w:rsidRDefault="008A7F47" w:rsidP="008A7F47">
      <w:pPr>
        <w:pStyle w:val="BodyText"/>
        <w:rPr>
          <w:lang w:val="en-US"/>
        </w:rPr>
      </w:pPr>
      <w:r>
        <w:rPr>
          <w:lang w:val="en-US"/>
        </w:rPr>
        <w:t xml:space="preserve">The business as usual scenario assumes that the current </w:t>
      </w:r>
      <w:r w:rsidR="00C96A5B">
        <w:rPr>
          <w:lang w:val="en-US"/>
        </w:rPr>
        <w:t>size and location</w:t>
      </w:r>
      <w:r>
        <w:rPr>
          <w:lang w:val="en-US"/>
        </w:rPr>
        <w:t xml:space="preserve"> of provincial parks in the CLFN SA will </w:t>
      </w:r>
      <w:r w:rsidR="00C96A5B">
        <w:rPr>
          <w:lang w:val="en-US"/>
        </w:rPr>
        <w:t>not change</w:t>
      </w:r>
      <w:r w:rsidR="00EF3ABB">
        <w:rPr>
          <w:lang w:val="en-US"/>
        </w:rPr>
        <w:t>. Current restrictions of CLFN traditional activities within the park network persist in the future simulation.</w:t>
      </w:r>
    </w:p>
    <w:p w:rsidR="00CB13BF" w:rsidRDefault="00CB13BF" w:rsidP="00CB13BF">
      <w:pPr>
        <w:pStyle w:val="Heading3"/>
      </w:pPr>
      <w:bookmarkStart w:id="370" w:name="_Toc338703737"/>
      <w:r>
        <w:t>Key Reclamation Input Assumptions</w:t>
      </w:r>
      <w:bookmarkEnd w:id="370"/>
    </w:p>
    <w:p w:rsidR="001D676F" w:rsidRDefault="001D676F" w:rsidP="00CB13BF">
      <w:pPr>
        <w:pStyle w:val="BodyText"/>
        <w:rPr>
          <w:lang w:val="en-US"/>
        </w:rPr>
      </w:pPr>
      <w:r>
        <w:rPr>
          <w:lang w:val="en-US"/>
        </w:rPr>
        <w:t xml:space="preserve">All </w:t>
      </w:r>
      <w:r w:rsidR="00C544DE">
        <w:rPr>
          <w:lang w:val="en-US"/>
        </w:rPr>
        <w:t>land-use</w:t>
      </w:r>
      <w:r>
        <w:rPr>
          <w:lang w:val="en-US"/>
        </w:rPr>
        <w:t xml:space="preserve"> footprints tracked in ALCES can be </w:t>
      </w:r>
      <w:r w:rsidR="008A7F47">
        <w:rPr>
          <w:lang w:val="en-US"/>
        </w:rPr>
        <w:t xml:space="preserve">either </w:t>
      </w:r>
      <w:r>
        <w:rPr>
          <w:lang w:val="en-US"/>
        </w:rPr>
        <w:t xml:space="preserve">permanent or transient. If footprints types are not permanent, then ALCES </w:t>
      </w:r>
      <w:r w:rsidR="008A7F47">
        <w:rPr>
          <w:lang w:val="en-US"/>
        </w:rPr>
        <w:t>requires</w:t>
      </w:r>
      <w:r>
        <w:rPr>
          <w:lang w:val="en-US"/>
        </w:rPr>
        <w:t xml:space="preserve"> input assumptions on the average lifespan of each footprint type. ALCES adopts a 2</w:t>
      </w:r>
      <w:r w:rsidRPr="001D676F">
        <w:rPr>
          <w:vertAlign w:val="superscript"/>
          <w:lang w:val="en-US"/>
        </w:rPr>
        <w:t>nd</w:t>
      </w:r>
      <w:r>
        <w:rPr>
          <w:lang w:val="en-US"/>
        </w:rPr>
        <w:t xml:space="preserve"> order approach to reclaiming footprint types based on defined lifespans. For example, if wellpads have a 20 year lifespan, then 5% of wellpads are reclaimed annually, with oldest wellpads being reclaimed first.</w:t>
      </w:r>
    </w:p>
    <w:p w:rsidR="001D676F" w:rsidRDefault="001D676F" w:rsidP="00CB13BF">
      <w:pPr>
        <w:pStyle w:val="BodyText"/>
        <w:rPr>
          <w:lang w:val="en-US"/>
        </w:rPr>
      </w:pPr>
      <w:r>
        <w:rPr>
          <w:lang w:val="en-US"/>
        </w:rPr>
        <w:t xml:space="preserve">It is important to give consideration to the </w:t>
      </w:r>
      <w:r w:rsidR="00280A4D">
        <w:rPr>
          <w:lang w:val="en-US"/>
        </w:rPr>
        <w:t>metrics used for</w:t>
      </w:r>
      <w:r>
        <w:rPr>
          <w:lang w:val="en-US"/>
        </w:rPr>
        <w:t xml:space="preserve"> footprint reclamation, since landscape metrics influenced by footprints</w:t>
      </w:r>
      <w:r w:rsidR="008A7F47">
        <w:rPr>
          <w:lang w:val="en-US"/>
        </w:rPr>
        <w:t xml:space="preserve"> and their reclamation</w:t>
      </w:r>
      <w:r>
        <w:rPr>
          <w:lang w:val="en-US"/>
        </w:rPr>
        <w:t xml:space="preserve"> often have a significant effect on ecological indicators, particularly those that are sensitive to landscape fragmentation or core area.</w:t>
      </w:r>
      <w:r w:rsidR="00280A4D">
        <w:rPr>
          <w:lang w:val="en-US"/>
        </w:rPr>
        <w:t xml:space="preserve"> If footprints such as seismic lines are not allowed to reclaim at a rate likely to occur in reality, then the environmental effects of </w:t>
      </w:r>
      <w:r w:rsidR="00C544DE">
        <w:rPr>
          <w:lang w:val="en-US"/>
        </w:rPr>
        <w:t>land-use</w:t>
      </w:r>
      <w:r w:rsidR="00280A4D">
        <w:rPr>
          <w:lang w:val="en-US"/>
        </w:rPr>
        <w:t xml:space="preserve"> trajectories may be exaggerated. Conversely, allowing seismic lines to reclaim in the model more quickly than in reality will likely under-estimate the true effect magnitude.</w:t>
      </w:r>
    </w:p>
    <w:p w:rsidR="00280A4D" w:rsidRDefault="00280A4D" w:rsidP="00C96A5B">
      <w:pPr>
        <w:spacing w:after="200" w:line="276" w:lineRule="auto"/>
        <w:rPr>
          <w:lang w:val="en-US"/>
        </w:rPr>
      </w:pPr>
      <w:r>
        <w:rPr>
          <w:lang w:val="en-US"/>
        </w:rPr>
        <w:t xml:space="preserve">For the CLFN SA ALCES project, all footprint types were permanent except seismic lines, wellpads, wellpad access roads, and pipelines. Each of these features </w:t>
      </w:r>
      <w:r w:rsidR="008A7F47">
        <w:rPr>
          <w:lang w:val="en-US"/>
        </w:rPr>
        <w:t>was</w:t>
      </w:r>
      <w:r>
        <w:rPr>
          <w:lang w:val="en-US"/>
        </w:rPr>
        <w:t xml:space="preserve"> given an average lifespa</w:t>
      </w:r>
      <w:r w:rsidR="00C96A5B">
        <w:rPr>
          <w:lang w:val="en-US"/>
        </w:rPr>
        <w:t>n (</w:t>
      </w:r>
      <w:r w:rsidR="00575CA7">
        <w:rPr>
          <w:lang w:val="en-US"/>
        </w:rPr>
        <w:fldChar w:fldCharType="begin"/>
      </w:r>
      <w:r w:rsidR="00C96A5B">
        <w:rPr>
          <w:lang w:val="en-US"/>
        </w:rPr>
        <w:instrText xml:space="preserve"> REF _Ref326322317 \h </w:instrText>
      </w:r>
      <w:r w:rsidR="00575CA7">
        <w:rPr>
          <w:lang w:val="en-US"/>
        </w:rPr>
      </w:r>
      <w:r w:rsidR="00575CA7">
        <w:rPr>
          <w:lang w:val="en-US"/>
        </w:rPr>
        <w:fldChar w:fldCharType="separate"/>
      </w:r>
      <w:r w:rsidR="003648B8">
        <w:t xml:space="preserve">Table </w:t>
      </w:r>
      <w:r w:rsidR="003648B8">
        <w:rPr>
          <w:noProof/>
        </w:rPr>
        <w:t>14</w:t>
      </w:r>
      <w:r w:rsidR="00575CA7">
        <w:rPr>
          <w:lang w:val="en-US"/>
        </w:rPr>
        <w:fldChar w:fldCharType="end"/>
      </w:r>
      <w:r w:rsidR="00C96A5B">
        <w:rPr>
          <w:lang w:val="en-US"/>
        </w:rPr>
        <w:t>)</w:t>
      </w:r>
      <w:r>
        <w:rPr>
          <w:lang w:val="en-US"/>
        </w:rPr>
        <w:t>. Seismic lines and pipelines constructed by ALCES on cultivated crops were given a lifespan of 1 year (indicating that their presence disappeared within one growing season).</w:t>
      </w:r>
    </w:p>
    <w:p w:rsidR="00EF3ABB" w:rsidRDefault="00EF3ABB">
      <w:pPr>
        <w:spacing w:after="200" w:line="276" w:lineRule="auto"/>
        <w:rPr>
          <w:b/>
          <w:bCs/>
          <w:sz w:val="20"/>
          <w:szCs w:val="20"/>
          <w:lang w:eastAsia="en-CA"/>
        </w:rPr>
      </w:pPr>
      <w:bookmarkStart w:id="371" w:name="_Ref325836198"/>
      <w:r>
        <w:br w:type="page"/>
      </w:r>
    </w:p>
    <w:p w:rsidR="007A313C" w:rsidRDefault="007A313C" w:rsidP="007A313C">
      <w:pPr>
        <w:pStyle w:val="Caption"/>
        <w:keepNext/>
        <w:spacing w:before="120"/>
      </w:pPr>
      <w:bookmarkStart w:id="372" w:name="_Ref326322317"/>
      <w:bookmarkStart w:id="373" w:name="_Toc338703780"/>
      <w:proofErr w:type="gramStart"/>
      <w:r>
        <w:lastRenderedPageBreak/>
        <w:t xml:space="preserve">Table </w:t>
      </w:r>
      <w:r w:rsidR="00575CA7">
        <w:fldChar w:fldCharType="begin"/>
      </w:r>
      <w:r w:rsidR="00D75024">
        <w:instrText xml:space="preserve"> SEQ Table \* ARABIC </w:instrText>
      </w:r>
      <w:r w:rsidR="00575CA7">
        <w:fldChar w:fldCharType="separate"/>
      </w:r>
      <w:r w:rsidR="002B4C72">
        <w:rPr>
          <w:noProof/>
        </w:rPr>
        <w:t>16</w:t>
      </w:r>
      <w:r w:rsidR="00575CA7">
        <w:fldChar w:fldCharType="end"/>
      </w:r>
      <w:bookmarkEnd w:id="371"/>
      <w:bookmarkEnd w:id="372"/>
      <w:r>
        <w:t>.</w:t>
      </w:r>
      <w:proofErr w:type="gramEnd"/>
      <w:r>
        <w:t xml:space="preserve"> </w:t>
      </w:r>
      <w:proofErr w:type="gramStart"/>
      <w:r>
        <w:t>Key</w:t>
      </w:r>
      <w:r w:rsidR="00D3697A">
        <w:t xml:space="preserve"> </w:t>
      </w:r>
      <w:r w:rsidR="00C544DE">
        <w:t>land-use</w:t>
      </w:r>
      <w:r w:rsidR="003B6796">
        <w:t xml:space="preserve"> </w:t>
      </w:r>
      <w:r w:rsidR="00D3697A">
        <w:t>footprint reclamation m</w:t>
      </w:r>
      <w:r>
        <w:t>etrics</w:t>
      </w:r>
      <w:r w:rsidR="00A911B8">
        <w:t xml:space="preserve"> used in the CLFN ALCES model.</w:t>
      </w:r>
      <w:bookmarkEnd w:id="373"/>
      <w:proofErr w:type="gramEnd"/>
    </w:p>
    <w:tbl>
      <w:tblPr>
        <w:tblStyle w:val="TableGrid"/>
        <w:tblW w:w="9038" w:type="dxa"/>
        <w:tblLook w:val="04A0"/>
      </w:tblPr>
      <w:tblGrid>
        <w:gridCol w:w="2093"/>
        <w:gridCol w:w="2835"/>
        <w:gridCol w:w="4110"/>
      </w:tblGrid>
      <w:tr w:rsidR="00CB13BF" w:rsidTr="00DE61CE">
        <w:trPr>
          <w:trHeight w:val="113"/>
        </w:trPr>
        <w:tc>
          <w:tcPr>
            <w:tcW w:w="2093" w:type="dxa"/>
          </w:tcPr>
          <w:p w:rsidR="00CB13BF" w:rsidRPr="007A313C" w:rsidRDefault="00C544DE" w:rsidP="007A313C">
            <w:pPr>
              <w:pStyle w:val="BodyText"/>
              <w:spacing w:before="120"/>
              <w:rPr>
                <w:b/>
                <w:sz w:val="20"/>
                <w:lang w:val="en-US"/>
              </w:rPr>
            </w:pPr>
            <w:r>
              <w:rPr>
                <w:b/>
                <w:sz w:val="20"/>
                <w:lang w:val="en-US"/>
              </w:rPr>
              <w:t>Land-use</w:t>
            </w:r>
            <w:r w:rsidR="00CB13BF" w:rsidRPr="007A313C">
              <w:rPr>
                <w:b/>
                <w:sz w:val="20"/>
                <w:lang w:val="en-US"/>
              </w:rPr>
              <w:t xml:space="preserve"> Footprint</w:t>
            </w:r>
          </w:p>
        </w:tc>
        <w:tc>
          <w:tcPr>
            <w:tcW w:w="2835" w:type="dxa"/>
          </w:tcPr>
          <w:p w:rsidR="00CB13BF" w:rsidRPr="007A313C" w:rsidRDefault="00CB13BF" w:rsidP="007A313C">
            <w:pPr>
              <w:pStyle w:val="BodyText"/>
              <w:spacing w:before="120"/>
              <w:rPr>
                <w:b/>
                <w:sz w:val="20"/>
                <w:lang w:val="en-US"/>
              </w:rPr>
            </w:pPr>
            <w:r w:rsidRPr="007A313C">
              <w:rPr>
                <w:b/>
                <w:sz w:val="20"/>
                <w:lang w:val="en-US"/>
              </w:rPr>
              <w:t>Average Lifespan</w:t>
            </w:r>
            <w:r w:rsidR="007A313C">
              <w:rPr>
                <w:b/>
                <w:sz w:val="20"/>
                <w:lang w:val="en-US"/>
              </w:rPr>
              <w:t xml:space="preserve"> (yrs)</w:t>
            </w:r>
          </w:p>
        </w:tc>
        <w:tc>
          <w:tcPr>
            <w:tcW w:w="4110" w:type="dxa"/>
          </w:tcPr>
          <w:p w:rsidR="00CB13BF" w:rsidRPr="007A313C" w:rsidRDefault="00CB13BF" w:rsidP="007A313C">
            <w:pPr>
              <w:pStyle w:val="BodyText"/>
              <w:spacing w:before="120"/>
              <w:rPr>
                <w:b/>
                <w:sz w:val="20"/>
                <w:lang w:val="en-US"/>
              </w:rPr>
            </w:pPr>
            <w:r w:rsidRPr="007A313C">
              <w:rPr>
                <w:b/>
                <w:sz w:val="20"/>
                <w:lang w:val="en-US"/>
              </w:rPr>
              <w:t>Reclamation Destination</w:t>
            </w:r>
          </w:p>
        </w:tc>
      </w:tr>
      <w:tr w:rsidR="00CB13BF" w:rsidTr="00DE61CE">
        <w:trPr>
          <w:trHeight w:hRule="exact" w:val="397"/>
        </w:trPr>
        <w:tc>
          <w:tcPr>
            <w:tcW w:w="2093" w:type="dxa"/>
          </w:tcPr>
          <w:p w:rsidR="00280A4D" w:rsidRPr="00CB13BF" w:rsidRDefault="00CB13BF" w:rsidP="00CB13BF">
            <w:pPr>
              <w:pStyle w:val="BodyText"/>
              <w:rPr>
                <w:sz w:val="20"/>
                <w:lang w:val="en-US"/>
              </w:rPr>
            </w:pPr>
            <w:r w:rsidRPr="00CB13BF">
              <w:rPr>
                <w:sz w:val="20"/>
                <w:lang w:val="en-US"/>
              </w:rPr>
              <w:t>Major Roads</w:t>
            </w:r>
          </w:p>
        </w:tc>
        <w:tc>
          <w:tcPr>
            <w:tcW w:w="2835" w:type="dxa"/>
          </w:tcPr>
          <w:p w:rsidR="00CB13BF" w:rsidRPr="00CB13BF" w:rsidRDefault="00CB13BF" w:rsidP="00DE61CE">
            <w:pPr>
              <w:pStyle w:val="BodyText"/>
              <w:jc w:val="both"/>
              <w:rPr>
                <w:sz w:val="20"/>
                <w:lang w:val="en-US"/>
              </w:rPr>
            </w:pPr>
            <w:r>
              <w:rPr>
                <w:sz w:val="20"/>
                <w:lang w:val="en-US"/>
              </w:rPr>
              <w:t>Permanent</w:t>
            </w:r>
          </w:p>
        </w:tc>
        <w:tc>
          <w:tcPr>
            <w:tcW w:w="4110" w:type="dxa"/>
          </w:tcPr>
          <w:p w:rsidR="00CB13BF" w:rsidRPr="00CB13BF" w:rsidRDefault="007A313C" w:rsidP="00CB13BF">
            <w:pPr>
              <w:pStyle w:val="BodyText"/>
              <w:rPr>
                <w:sz w:val="20"/>
                <w:lang w:val="en-US"/>
              </w:rPr>
            </w:pPr>
            <w:r>
              <w:rPr>
                <w:sz w:val="20"/>
                <w:lang w:val="en-US"/>
              </w:rPr>
              <w:t>Not relevant</w:t>
            </w:r>
          </w:p>
        </w:tc>
      </w:tr>
      <w:tr w:rsidR="00CB13BF" w:rsidTr="00DE61CE">
        <w:trPr>
          <w:trHeight w:hRule="exact" w:val="397"/>
        </w:trPr>
        <w:tc>
          <w:tcPr>
            <w:tcW w:w="2093" w:type="dxa"/>
          </w:tcPr>
          <w:p w:rsidR="00CB13BF" w:rsidRPr="00CB13BF" w:rsidRDefault="00CB13BF" w:rsidP="00CB13BF">
            <w:pPr>
              <w:pStyle w:val="BodyText"/>
              <w:rPr>
                <w:sz w:val="20"/>
                <w:lang w:val="en-US"/>
              </w:rPr>
            </w:pPr>
            <w:r w:rsidRPr="00CB13BF">
              <w:rPr>
                <w:sz w:val="20"/>
                <w:lang w:val="en-US"/>
              </w:rPr>
              <w:t>Minor Roads</w:t>
            </w:r>
          </w:p>
        </w:tc>
        <w:tc>
          <w:tcPr>
            <w:tcW w:w="2835" w:type="dxa"/>
          </w:tcPr>
          <w:p w:rsidR="00CB13BF" w:rsidRPr="00CB13BF" w:rsidRDefault="007A313C" w:rsidP="00DE61CE">
            <w:pPr>
              <w:pStyle w:val="BodyText"/>
              <w:jc w:val="both"/>
              <w:rPr>
                <w:sz w:val="20"/>
                <w:lang w:val="en-US"/>
              </w:rPr>
            </w:pPr>
            <w:r>
              <w:rPr>
                <w:sz w:val="20"/>
                <w:lang w:val="en-US"/>
              </w:rPr>
              <w:t>Permanent</w:t>
            </w:r>
          </w:p>
        </w:tc>
        <w:tc>
          <w:tcPr>
            <w:tcW w:w="4110" w:type="dxa"/>
          </w:tcPr>
          <w:p w:rsidR="00CB13BF" w:rsidRPr="00CB13BF" w:rsidRDefault="007A313C" w:rsidP="00CB13BF">
            <w:pPr>
              <w:pStyle w:val="BodyText"/>
              <w:rPr>
                <w:sz w:val="20"/>
                <w:lang w:val="en-US"/>
              </w:rPr>
            </w:pPr>
            <w:r>
              <w:rPr>
                <w:sz w:val="20"/>
                <w:lang w:val="en-US"/>
              </w:rPr>
              <w:t>Not relevant</w:t>
            </w:r>
          </w:p>
        </w:tc>
      </w:tr>
      <w:tr w:rsidR="00CB13BF" w:rsidTr="00DE61CE">
        <w:trPr>
          <w:trHeight w:hRule="exact" w:val="397"/>
        </w:trPr>
        <w:tc>
          <w:tcPr>
            <w:tcW w:w="2093" w:type="dxa"/>
          </w:tcPr>
          <w:p w:rsidR="00CB13BF" w:rsidRPr="00CB13BF" w:rsidRDefault="00CB13BF" w:rsidP="00CB13BF">
            <w:pPr>
              <w:pStyle w:val="BodyText"/>
              <w:rPr>
                <w:sz w:val="20"/>
                <w:lang w:val="en-US"/>
              </w:rPr>
            </w:pPr>
            <w:r w:rsidRPr="00CB13BF">
              <w:rPr>
                <w:sz w:val="20"/>
                <w:lang w:val="en-US"/>
              </w:rPr>
              <w:t>Gravel Pits</w:t>
            </w:r>
          </w:p>
        </w:tc>
        <w:tc>
          <w:tcPr>
            <w:tcW w:w="2835" w:type="dxa"/>
          </w:tcPr>
          <w:p w:rsidR="00CB13BF" w:rsidRPr="00CB13BF" w:rsidRDefault="007A313C" w:rsidP="00DE61CE">
            <w:pPr>
              <w:pStyle w:val="BodyText"/>
              <w:jc w:val="both"/>
              <w:rPr>
                <w:sz w:val="20"/>
                <w:lang w:val="en-US"/>
              </w:rPr>
            </w:pPr>
            <w:r>
              <w:rPr>
                <w:sz w:val="20"/>
                <w:lang w:val="en-US"/>
              </w:rPr>
              <w:t>Permanent</w:t>
            </w:r>
          </w:p>
        </w:tc>
        <w:tc>
          <w:tcPr>
            <w:tcW w:w="4110" w:type="dxa"/>
          </w:tcPr>
          <w:p w:rsidR="00CB13BF" w:rsidRPr="00CB13BF" w:rsidRDefault="007A313C" w:rsidP="00CB13BF">
            <w:pPr>
              <w:pStyle w:val="BodyText"/>
              <w:rPr>
                <w:sz w:val="20"/>
                <w:lang w:val="en-US"/>
              </w:rPr>
            </w:pPr>
            <w:r>
              <w:rPr>
                <w:sz w:val="20"/>
                <w:lang w:val="en-US"/>
              </w:rPr>
              <w:t>Not relevant</w:t>
            </w:r>
          </w:p>
        </w:tc>
      </w:tr>
      <w:tr w:rsidR="00CB13BF" w:rsidTr="00DE61CE">
        <w:trPr>
          <w:trHeight w:hRule="exact" w:val="397"/>
        </w:trPr>
        <w:tc>
          <w:tcPr>
            <w:tcW w:w="2093" w:type="dxa"/>
          </w:tcPr>
          <w:p w:rsidR="00CB13BF" w:rsidRPr="00CB13BF" w:rsidRDefault="00CB13BF" w:rsidP="00CB13BF">
            <w:pPr>
              <w:pStyle w:val="BodyText"/>
              <w:rPr>
                <w:sz w:val="20"/>
                <w:lang w:val="en-US"/>
              </w:rPr>
            </w:pPr>
            <w:r w:rsidRPr="00CB13BF">
              <w:rPr>
                <w:sz w:val="20"/>
                <w:lang w:val="en-US"/>
              </w:rPr>
              <w:t>Inblock Roads</w:t>
            </w:r>
          </w:p>
        </w:tc>
        <w:tc>
          <w:tcPr>
            <w:tcW w:w="2835" w:type="dxa"/>
          </w:tcPr>
          <w:p w:rsidR="00CB13BF" w:rsidRPr="00CB13BF" w:rsidRDefault="007A313C" w:rsidP="00DE61CE">
            <w:pPr>
              <w:pStyle w:val="BodyText"/>
              <w:jc w:val="both"/>
              <w:rPr>
                <w:sz w:val="20"/>
                <w:lang w:val="en-US"/>
              </w:rPr>
            </w:pPr>
            <w:r>
              <w:rPr>
                <w:sz w:val="20"/>
                <w:lang w:val="en-US"/>
              </w:rPr>
              <w:t>3</w:t>
            </w:r>
          </w:p>
        </w:tc>
        <w:tc>
          <w:tcPr>
            <w:tcW w:w="4110" w:type="dxa"/>
          </w:tcPr>
          <w:p w:rsidR="00CB13BF" w:rsidRPr="00CB13BF" w:rsidRDefault="007A313C" w:rsidP="00CB13BF">
            <w:pPr>
              <w:pStyle w:val="BodyText"/>
              <w:rPr>
                <w:sz w:val="20"/>
                <w:lang w:val="en-US"/>
              </w:rPr>
            </w:pPr>
            <w:r>
              <w:rPr>
                <w:sz w:val="20"/>
                <w:lang w:val="en-US"/>
              </w:rPr>
              <w:t>Reclaimed to original Landscape Type</w:t>
            </w:r>
          </w:p>
        </w:tc>
      </w:tr>
      <w:tr w:rsidR="00CB13BF" w:rsidTr="00DE61CE">
        <w:trPr>
          <w:trHeight w:hRule="exact" w:val="397"/>
        </w:trPr>
        <w:tc>
          <w:tcPr>
            <w:tcW w:w="2093" w:type="dxa"/>
          </w:tcPr>
          <w:p w:rsidR="00CB13BF" w:rsidRPr="00CB13BF" w:rsidRDefault="00CB13BF" w:rsidP="00CB13BF">
            <w:pPr>
              <w:pStyle w:val="BodyText"/>
              <w:rPr>
                <w:sz w:val="20"/>
                <w:lang w:val="en-US"/>
              </w:rPr>
            </w:pPr>
            <w:r w:rsidRPr="00CB13BF">
              <w:rPr>
                <w:sz w:val="20"/>
                <w:lang w:val="en-US"/>
              </w:rPr>
              <w:t>Transmission Lines</w:t>
            </w:r>
          </w:p>
        </w:tc>
        <w:tc>
          <w:tcPr>
            <w:tcW w:w="2835" w:type="dxa"/>
          </w:tcPr>
          <w:p w:rsidR="00CB13BF" w:rsidRPr="00CB13BF" w:rsidRDefault="007A313C" w:rsidP="00DE61CE">
            <w:pPr>
              <w:pStyle w:val="BodyText"/>
              <w:jc w:val="both"/>
              <w:rPr>
                <w:sz w:val="20"/>
                <w:lang w:val="en-US"/>
              </w:rPr>
            </w:pPr>
            <w:r>
              <w:rPr>
                <w:sz w:val="20"/>
                <w:lang w:val="en-US"/>
              </w:rPr>
              <w:t>Permanent</w:t>
            </w:r>
          </w:p>
        </w:tc>
        <w:tc>
          <w:tcPr>
            <w:tcW w:w="4110" w:type="dxa"/>
          </w:tcPr>
          <w:p w:rsidR="00CB13BF" w:rsidRPr="00CB13BF" w:rsidRDefault="007A313C" w:rsidP="00CB13BF">
            <w:pPr>
              <w:pStyle w:val="BodyText"/>
              <w:rPr>
                <w:sz w:val="20"/>
                <w:lang w:val="en-US"/>
              </w:rPr>
            </w:pPr>
            <w:r>
              <w:rPr>
                <w:sz w:val="20"/>
                <w:lang w:val="en-US"/>
              </w:rPr>
              <w:t>Not relevant</w:t>
            </w:r>
          </w:p>
        </w:tc>
      </w:tr>
      <w:tr w:rsidR="00CB13BF" w:rsidTr="00DE61CE">
        <w:trPr>
          <w:trHeight w:hRule="exact" w:val="397"/>
        </w:trPr>
        <w:tc>
          <w:tcPr>
            <w:tcW w:w="2093" w:type="dxa"/>
          </w:tcPr>
          <w:p w:rsidR="00CB13BF" w:rsidRPr="00CB13BF" w:rsidRDefault="00CB13BF" w:rsidP="00CB13BF">
            <w:pPr>
              <w:pStyle w:val="BodyText"/>
              <w:rPr>
                <w:sz w:val="20"/>
                <w:lang w:val="en-US"/>
              </w:rPr>
            </w:pPr>
            <w:r w:rsidRPr="00CB13BF">
              <w:rPr>
                <w:sz w:val="20"/>
                <w:lang w:val="en-US"/>
              </w:rPr>
              <w:t>Rail</w:t>
            </w:r>
          </w:p>
        </w:tc>
        <w:tc>
          <w:tcPr>
            <w:tcW w:w="2835" w:type="dxa"/>
          </w:tcPr>
          <w:p w:rsidR="00CB13BF" w:rsidRPr="00CB13BF" w:rsidRDefault="007A313C" w:rsidP="00DE61CE">
            <w:pPr>
              <w:pStyle w:val="BodyText"/>
              <w:jc w:val="both"/>
              <w:rPr>
                <w:sz w:val="20"/>
                <w:lang w:val="en-US"/>
              </w:rPr>
            </w:pPr>
            <w:r>
              <w:rPr>
                <w:sz w:val="20"/>
                <w:lang w:val="en-US"/>
              </w:rPr>
              <w:t>Permanent</w:t>
            </w:r>
          </w:p>
        </w:tc>
        <w:tc>
          <w:tcPr>
            <w:tcW w:w="4110" w:type="dxa"/>
          </w:tcPr>
          <w:p w:rsidR="00CB13BF" w:rsidRPr="00CB13BF" w:rsidRDefault="007A313C" w:rsidP="00CB13BF">
            <w:pPr>
              <w:pStyle w:val="BodyText"/>
              <w:rPr>
                <w:sz w:val="20"/>
                <w:lang w:val="en-US"/>
              </w:rPr>
            </w:pPr>
            <w:r>
              <w:rPr>
                <w:sz w:val="20"/>
                <w:lang w:val="en-US"/>
              </w:rPr>
              <w:t>Not relevant</w:t>
            </w:r>
          </w:p>
        </w:tc>
      </w:tr>
      <w:tr w:rsidR="00CB13BF" w:rsidTr="00DE61CE">
        <w:trPr>
          <w:trHeight w:hRule="exact" w:val="397"/>
        </w:trPr>
        <w:tc>
          <w:tcPr>
            <w:tcW w:w="2093" w:type="dxa"/>
          </w:tcPr>
          <w:p w:rsidR="00CB13BF" w:rsidRPr="00CB13BF" w:rsidRDefault="00CB13BF" w:rsidP="00CB13BF">
            <w:pPr>
              <w:pStyle w:val="BodyText"/>
              <w:rPr>
                <w:sz w:val="20"/>
                <w:lang w:val="en-US"/>
              </w:rPr>
            </w:pPr>
            <w:r w:rsidRPr="00CB13BF">
              <w:rPr>
                <w:sz w:val="20"/>
                <w:lang w:val="en-US"/>
              </w:rPr>
              <w:t>Industrial Features</w:t>
            </w:r>
          </w:p>
        </w:tc>
        <w:tc>
          <w:tcPr>
            <w:tcW w:w="2835" w:type="dxa"/>
          </w:tcPr>
          <w:p w:rsidR="00CB13BF" w:rsidRPr="00CB13BF" w:rsidRDefault="007A313C" w:rsidP="00DE61CE">
            <w:pPr>
              <w:pStyle w:val="BodyText"/>
              <w:jc w:val="both"/>
              <w:rPr>
                <w:sz w:val="20"/>
                <w:lang w:val="en-US"/>
              </w:rPr>
            </w:pPr>
            <w:r>
              <w:rPr>
                <w:sz w:val="20"/>
                <w:lang w:val="en-US"/>
              </w:rPr>
              <w:t>Permanent</w:t>
            </w:r>
          </w:p>
        </w:tc>
        <w:tc>
          <w:tcPr>
            <w:tcW w:w="4110" w:type="dxa"/>
          </w:tcPr>
          <w:p w:rsidR="00CB13BF" w:rsidRPr="00CB13BF" w:rsidRDefault="007A313C" w:rsidP="00CB13BF">
            <w:pPr>
              <w:pStyle w:val="BodyText"/>
              <w:rPr>
                <w:sz w:val="20"/>
                <w:lang w:val="en-US"/>
              </w:rPr>
            </w:pPr>
            <w:r>
              <w:rPr>
                <w:sz w:val="20"/>
                <w:lang w:val="en-US"/>
              </w:rPr>
              <w:t>Not relevant</w:t>
            </w:r>
          </w:p>
        </w:tc>
      </w:tr>
      <w:tr w:rsidR="00CB13BF" w:rsidTr="00DE61CE">
        <w:trPr>
          <w:trHeight w:hRule="exact" w:val="397"/>
        </w:trPr>
        <w:tc>
          <w:tcPr>
            <w:tcW w:w="2093" w:type="dxa"/>
          </w:tcPr>
          <w:p w:rsidR="00CB13BF" w:rsidRPr="00CB13BF" w:rsidRDefault="00CB13BF" w:rsidP="00CB13BF">
            <w:pPr>
              <w:pStyle w:val="BodyText"/>
              <w:rPr>
                <w:sz w:val="20"/>
                <w:lang w:val="en-US"/>
              </w:rPr>
            </w:pPr>
            <w:r w:rsidRPr="00CB13BF">
              <w:rPr>
                <w:sz w:val="20"/>
                <w:lang w:val="en-US"/>
              </w:rPr>
              <w:t>Urban</w:t>
            </w:r>
          </w:p>
        </w:tc>
        <w:tc>
          <w:tcPr>
            <w:tcW w:w="2835" w:type="dxa"/>
          </w:tcPr>
          <w:p w:rsidR="00CB13BF" w:rsidRPr="00CB13BF" w:rsidRDefault="007A313C" w:rsidP="00DE61CE">
            <w:pPr>
              <w:pStyle w:val="BodyText"/>
              <w:jc w:val="both"/>
              <w:rPr>
                <w:sz w:val="20"/>
                <w:lang w:val="en-US"/>
              </w:rPr>
            </w:pPr>
            <w:r>
              <w:rPr>
                <w:sz w:val="20"/>
                <w:lang w:val="en-US"/>
              </w:rPr>
              <w:t>Permanent</w:t>
            </w:r>
          </w:p>
        </w:tc>
        <w:tc>
          <w:tcPr>
            <w:tcW w:w="4110" w:type="dxa"/>
          </w:tcPr>
          <w:p w:rsidR="00CB13BF" w:rsidRPr="00CB13BF" w:rsidRDefault="007A313C" w:rsidP="00CB13BF">
            <w:pPr>
              <w:pStyle w:val="BodyText"/>
              <w:rPr>
                <w:sz w:val="20"/>
                <w:lang w:val="en-US"/>
              </w:rPr>
            </w:pPr>
            <w:r>
              <w:rPr>
                <w:sz w:val="20"/>
                <w:lang w:val="en-US"/>
              </w:rPr>
              <w:t>Not relevant</w:t>
            </w:r>
          </w:p>
        </w:tc>
      </w:tr>
      <w:tr w:rsidR="00CB13BF" w:rsidTr="00DE61CE">
        <w:trPr>
          <w:trHeight w:hRule="exact" w:val="397"/>
        </w:trPr>
        <w:tc>
          <w:tcPr>
            <w:tcW w:w="2093" w:type="dxa"/>
          </w:tcPr>
          <w:p w:rsidR="00CB13BF" w:rsidRPr="00CB13BF" w:rsidRDefault="00CB13BF" w:rsidP="00CB13BF">
            <w:pPr>
              <w:pStyle w:val="BodyText"/>
              <w:rPr>
                <w:sz w:val="20"/>
                <w:lang w:val="en-US"/>
              </w:rPr>
            </w:pPr>
            <w:r w:rsidRPr="00CB13BF">
              <w:rPr>
                <w:sz w:val="20"/>
                <w:lang w:val="en-US"/>
              </w:rPr>
              <w:t>Rural Residential</w:t>
            </w:r>
          </w:p>
        </w:tc>
        <w:tc>
          <w:tcPr>
            <w:tcW w:w="2835" w:type="dxa"/>
          </w:tcPr>
          <w:p w:rsidR="00CB13BF" w:rsidRPr="00CB13BF" w:rsidRDefault="007A313C" w:rsidP="00DE61CE">
            <w:pPr>
              <w:pStyle w:val="BodyText"/>
              <w:jc w:val="both"/>
              <w:rPr>
                <w:sz w:val="20"/>
                <w:lang w:val="en-US"/>
              </w:rPr>
            </w:pPr>
            <w:r>
              <w:rPr>
                <w:sz w:val="20"/>
                <w:lang w:val="en-US"/>
              </w:rPr>
              <w:t>Permanent</w:t>
            </w:r>
          </w:p>
        </w:tc>
        <w:tc>
          <w:tcPr>
            <w:tcW w:w="4110" w:type="dxa"/>
          </w:tcPr>
          <w:p w:rsidR="00CB13BF" w:rsidRPr="00CB13BF" w:rsidRDefault="007A313C" w:rsidP="00CB13BF">
            <w:pPr>
              <w:pStyle w:val="BodyText"/>
              <w:rPr>
                <w:sz w:val="20"/>
                <w:lang w:val="en-US"/>
              </w:rPr>
            </w:pPr>
            <w:r>
              <w:rPr>
                <w:sz w:val="20"/>
                <w:lang w:val="en-US"/>
              </w:rPr>
              <w:t>Not relevant</w:t>
            </w:r>
          </w:p>
        </w:tc>
      </w:tr>
      <w:tr w:rsidR="00CB13BF" w:rsidTr="00A911B8">
        <w:trPr>
          <w:trHeight w:hRule="exact" w:val="852"/>
        </w:trPr>
        <w:tc>
          <w:tcPr>
            <w:tcW w:w="2093" w:type="dxa"/>
          </w:tcPr>
          <w:p w:rsidR="00CB13BF" w:rsidRPr="00CB13BF" w:rsidRDefault="00CB13BF" w:rsidP="00CB13BF">
            <w:pPr>
              <w:pStyle w:val="BodyText"/>
              <w:rPr>
                <w:sz w:val="20"/>
                <w:lang w:val="en-US"/>
              </w:rPr>
            </w:pPr>
            <w:r w:rsidRPr="00CB13BF">
              <w:rPr>
                <w:sz w:val="20"/>
                <w:lang w:val="en-US"/>
              </w:rPr>
              <w:t>Seismic Lines</w:t>
            </w:r>
          </w:p>
        </w:tc>
        <w:tc>
          <w:tcPr>
            <w:tcW w:w="2835" w:type="dxa"/>
          </w:tcPr>
          <w:p w:rsidR="00CB13BF" w:rsidRPr="00CB13BF" w:rsidRDefault="00A911B8" w:rsidP="00A911B8">
            <w:pPr>
              <w:pStyle w:val="BodyText"/>
              <w:jc w:val="both"/>
              <w:rPr>
                <w:sz w:val="20"/>
                <w:lang w:val="en-US"/>
              </w:rPr>
            </w:pPr>
            <w:r>
              <w:rPr>
                <w:sz w:val="20"/>
                <w:lang w:val="en-US"/>
              </w:rPr>
              <w:t xml:space="preserve">Related to seismic line width (2 year lifespan for seismic lines of average 2 m width </w:t>
            </w:r>
            <w:r w:rsidR="007A313C">
              <w:rPr>
                <w:sz w:val="20"/>
                <w:lang w:val="en-US"/>
              </w:rPr>
              <w:t xml:space="preserve"> for CLFN)</w:t>
            </w:r>
            <w:r w:rsidR="00E05350">
              <w:rPr>
                <w:sz w:val="20"/>
                <w:lang w:val="en-US"/>
              </w:rPr>
              <w:t xml:space="preserve"> </w:t>
            </w:r>
          </w:p>
        </w:tc>
        <w:tc>
          <w:tcPr>
            <w:tcW w:w="4110" w:type="dxa"/>
          </w:tcPr>
          <w:p w:rsidR="00CB13BF" w:rsidRPr="00CB13BF" w:rsidRDefault="007A313C" w:rsidP="00CB13BF">
            <w:pPr>
              <w:pStyle w:val="BodyText"/>
              <w:rPr>
                <w:sz w:val="20"/>
                <w:lang w:val="en-US"/>
              </w:rPr>
            </w:pPr>
            <w:r>
              <w:rPr>
                <w:sz w:val="20"/>
                <w:lang w:val="en-US"/>
              </w:rPr>
              <w:t>Reclaimed to original Landscape Type</w:t>
            </w:r>
          </w:p>
        </w:tc>
      </w:tr>
      <w:tr w:rsidR="00CB13BF" w:rsidTr="00DE61CE">
        <w:trPr>
          <w:trHeight w:hRule="exact" w:val="436"/>
        </w:trPr>
        <w:tc>
          <w:tcPr>
            <w:tcW w:w="2093" w:type="dxa"/>
          </w:tcPr>
          <w:p w:rsidR="00CB13BF" w:rsidRPr="00CB13BF" w:rsidRDefault="00CB13BF" w:rsidP="00CB13BF">
            <w:pPr>
              <w:pStyle w:val="BodyText"/>
              <w:rPr>
                <w:sz w:val="20"/>
                <w:lang w:val="en-US"/>
              </w:rPr>
            </w:pPr>
            <w:r w:rsidRPr="00CB13BF">
              <w:rPr>
                <w:sz w:val="20"/>
                <w:lang w:val="en-US"/>
              </w:rPr>
              <w:t>Wellpads</w:t>
            </w:r>
          </w:p>
        </w:tc>
        <w:tc>
          <w:tcPr>
            <w:tcW w:w="2835" w:type="dxa"/>
          </w:tcPr>
          <w:p w:rsidR="00CB13BF" w:rsidRPr="00CB13BF" w:rsidRDefault="00DE61CE" w:rsidP="00DE61CE">
            <w:pPr>
              <w:pStyle w:val="BodyText"/>
              <w:jc w:val="both"/>
              <w:rPr>
                <w:sz w:val="20"/>
                <w:lang w:val="en-US"/>
              </w:rPr>
            </w:pPr>
            <w:r>
              <w:rPr>
                <w:sz w:val="20"/>
                <w:lang w:val="en-US"/>
              </w:rPr>
              <w:t>CSS/Heavy (20), SAGD (25)</w:t>
            </w:r>
          </w:p>
        </w:tc>
        <w:tc>
          <w:tcPr>
            <w:tcW w:w="4110" w:type="dxa"/>
          </w:tcPr>
          <w:p w:rsidR="00CB13BF" w:rsidRPr="00CB13BF" w:rsidRDefault="007A313C" w:rsidP="00CB13BF">
            <w:pPr>
              <w:pStyle w:val="BodyText"/>
              <w:rPr>
                <w:sz w:val="20"/>
                <w:lang w:val="en-US"/>
              </w:rPr>
            </w:pPr>
            <w:r>
              <w:rPr>
                <w:sz w:val="20"/>
                <w:lang w:val="en-US"/>
              </w:rPr>
              <w:t>Reclaimed to original Landscape Type</w:t>
            </w:r>
          </w:p>
        </w:tc>
      </w:tr>
      <w:tr w:rsidR="00CB13BF" w:rsidTr="00DE61CE">
        <w:trPr>
          <w:trHeight w:hRule="exact" w:val="415"/>
        </w:trPr>
        <w:tc>
          <w:tcPr>
            <w:tcW w:w="2093" w:type="dxa"/>
          </w:tcPr>
          <w:p w:rsidR="00CB13BF" w:rsidRPr="00CB13BF" w:rsidRDefault="00CB13BF" w:rsidP="00CB13BF">
            <w:pPr>
              <w:pStyle w:val="BodyText"/>
              <w:rPr>
                <w:sz w:val="20"/>
                <w:lang w:val="en-US"/>
              </w:rPr>
            </w:pPr>
            <w:r w:rsidRPr="00CB13BF">
              <w:rPr>
                <w:sz w:val="20"/>
                <w:lang w:val="en-US"/>
              </w:rPr>
              <w:t>Wellpad Access Roads</w:t>
            </w:r>
          </w:p>
        </w:tc>
        <w:tc>
          <w:tcPr>
            <w:tcW w:w="2835" w:type="dxa"/>
          </w:tcPr>
          <w:p w:rsidR="00CB13BF" w:rsidRPr="00CB13BF" w:rsidRDefault="00DE61CE" w:rsidP="00DE61CE">
            <w:pPr>
              <w:pStyle w:val="BodyText"/>
              <w:jc w:val="both"/>
              <w:rPr>
                <w:sz w:val="20"/>
                <w:lang w:val="en-US"/>
              </w:rPr>
            </w:pPr>
            <w:r>
              <w:rPr>
                <w:sz w:val="20"/>
                <w:lang w:val="en-US"/>
              </w:rPr>
              <w:t>CSS/Heavy (20), SAGD (25)</w:t>
            </w:r>
          </w:p>
        </w:tc>
        <w:tc>
          <w:tcPr>
            <w:tcW w:w="4110" w:type="dxa"/>
          </w:tcPr>
          <w:p w:rsidR="00CB13BF" w:rsidRPr="00CB13BF" w:rsidRDefault="007A313C" w:rsidP="00CB13BF">
            <w:pPr>
              <w:pStyle w:val="BodyText"/>
              <w:rPr>
                <w:sz w:val="20"/>
                <w:lang w:val="en-US"/>
              </w:rPr>
            </w:pPr>
            <w:r>
              <w:rPr>
                <w:sz w:val="20"/>
                <w:lang w:val="en-US"/>
              </w:rPr>
              <w:t>Reclaimed to original Landscape Type</w:t>
            </w:r>
          </w:p>
        </w:tc>
      </w:tr>
      <w:tr w:rsidR="00CB13BF" w:rsidTr="00DE61CE">
        <w:trPr>
          <w:trHeight w:hRule="exact" w:val="397"/>
        </w:trPr>
        <w:tc>
          <w:tcPr>
            <w:tcW w:w="2093" w:type="dxa"/>
          </w:tcPr>
          <w:p w:rsidR="00CB13BF" w:rsidRPr="00CB13BF" w:rsidRDefault="00CB13BF" w:rsidP="00CB13BF">
            <w:pPr>
              <w:pStyle w:val="BodyText"/>
              <w:rPr>
                <w:sz w:val="20"/>
                <w:lang w:val="en-US"/>
              </w:rPr>
            </w:pPr>
            <w:r w:rsidRPr="00CB13BF">
              <w:rPr>
                <w:sz w:val="20"/>
                <w:lang w:val="en-US"/>
              </w:rPr>
              <w:t>Pipelines</w:t>
            </w:r>
          </w:p>
        </w:tc>
        <w:tc>
          <w:tcPr>
            <w:tcW w:w="2835" w:type="dxa"/>
          </w:tcPr>
          <w:p w:rsidR="00CB13BF" w:rsidRPr="00CB13BF" w:rsidRDefault="00DE61CE" w:rsidP="00E05350">
            <w:pPr>
              <w:pStyle w:val="BodyText"/>
              <w:jc w:val="both"/>
              <w:rPr>
                <w:sz w:val="20"/>
                <w:lang w:val="en-US"/>
              </w:rPr>
            </w:pPr>
            <w:r>
              <w:rPr>
                <w:sz w:val="20"/>
                <w:lang w:val="en-US"/>
              </w:rPr>
              <w:t>30</w:t>
            </w:r>
          </w:p>
        </w:tc>
        <w:tc>
          <w:tcPr>
            <w:tcW w:w="4110" w:type="dxa"/>
          </w:tcPr>
          <w:p w:rsidR="00CB13BF" w:rsidRPr="00CB13BF" w:rsidRDefault="007A313C" w:rsidP="00CB13BF">
            <w:pPr>
              <w:pStyle w:val="BodyText"/>
              <w:rPr>
                <w:sz w:val="20"/>
                <w:lang w:val="en-US"/>
              </w:rPr>
            </w:pPr>
            <w:r>
              <w:rPr>
                <w:sz w:val="20"/>
                <w:lang w:val="en-US"/>
              </w:rPr>
              <w:t>Reclaimed to original Landscape Type</w:t>
            </w:r>
          </w:p>
        </w:tc>
      </w:tr>
    </w:tbl>
    <w:p w:rsidR="00CB13BF" w:rsidRPr="00CB13BF" w:rsidRDefault="00CB13BF" w:rsidP="00CB13BF">
      <w:pPr>
        <w:pStyle w:val="BodyText"/>
        <w:rPr>
          <w:lang w:val="en-US"/>
        </w:rPr>
      </w:pPr>
    </w:p>
    <w:p w:rsidR="00EF3ABB" w:rsidRDefault="00EF3ABB">
      <w:pPr>
        <w:spacing w:after="200" w:line="276" w:lineRule="auto"/>
        <w:rPr>
          <w:rFonts w:ascii="Arial" w:hAnsi="Arial"/>
          <w:b/>
          <w:caps/>
          <w:kern w:val="28"/>
          <w:sz w:val="28"/>
          <w:lang w:val="en-US"/>
        </w:rPr>
      </w:pPr>
      <w:bookmarkStart w:id="374" w:name="_Toc326233160"/>
      <w:r>
        <w:br w:type="page"/>
      </w:r>
    </w:p>
    <w:p w:rsidR="00894004" w:rsidRDefault="00894004" w:rsidP="00894004">
      <w:pPr>
        <w:pStyle w:val="Heading1"/>
      </w:pPr>
      <w:bookmarkStart w:id="375" w:name="_Toc338703738"/>
      <w:r>
        <w:lastRenderedPageBreak/>
        <w:t>Results</w:t>
      </w:r>
      <w:bookmarkEnd w:id="374"/>
      <w:bookmarkEnd w:id="375"/>
    </w:p>
    <w:p w:rsidR="00894004" w:rsidRDefault="00894004" w:rsidP="00894004">
      <w:pPr>
        <w:pStyle w:val="Heading2"/>
      </w:pPr>
      <w:bookmarkStart w:id="376" w:name="_Toc326233161"/>
      <w:bookmarkStart w:id="377" w:name="_Toc338703739"/>
      <w:r>
        <w:t>General</w:t>
      </w:r>
      <w:bookmarkEnd w:id="376"/>
      <w:bookmarkEnd w:id="377"/>
    </w:p>
    <w:p w:rsidR="00894004" w:rsidRDefault="00894004" w:rsidP="00894004">
      <w:pPr>
        <w:pStyle w:val="BodyText"/>
        <w:rPr>
          <w:lang w:val="en-US"/>
        </w:rPr>
      </w:pPr>
      <w:r>
        <w:rPr>
          <w:lang w:val="en-US"/>
        </w:rPr>
        <w:t xml:space="preserve">Collectively, the footprints of the CLFN SA </w:t>
      </w:r>
      <w:r w:rsidR="00C544DE">
        <w:rPr>
          <w:lang w:val="en-US"/>
        </w:rPr>
        <w:t>land-use</w:t>
      </w:r>
      <w:r>
        <w:rPr>
          <w:lang w:val="en-US"/>
        </w:rPr>
        <w:t xml:space="preserve">s have lead to significant landscape transformation, particularly to the regions south of CLAWR. Linear/curvilinear features (seismic lines, pipelines, access roads, transmission lines) and polygonal features (croplands, settlements, wellsites, processing plants) have caused direct loss of natural landscape and wildlife habitat and have an indirect effect on those ecological processes that function at reduced performance when adjacent to either linear or polygonal </w:t>
      </w:r>
      <w:r w:rsidR="00C544DE">
        <w:rPr>
          <w:lang w:val="en-US"/>
        </w:rPr>
        <w:t>land-use</w:t>
      </w:r>
      <w:r>
        <w:rPr>
          <w:lang w:val="en-US"/>
        </w:rPr>
        <w:t xml:space="preserve"> footprints.</w:t>
      </w:r>
    </w:p>
    <w:p w:rsidR="00894004" w:rsidRDefault="00894004" w:rsidP="00894004">
      <w:pPr>
        <w:pStyle w:val="BodyText"/>
        <w:rPr>
          <w:lang w:val="en-US"/>
        </w:rPr>
      </w:pPr>
      <w:r>
        <w:rPr>
          <w:lang w:val="en-US"/>
        </w:rPr>
        <w:t xml:space="preserve">The simulation results suggest that future changes to the structure and ecological function of CLFN SA will be as large in scale and </w:t>
      </w:r>
      <w:r w:rsidR="00EF3ABB">
        <w:rPr>
          <w:lang w:val="en-US"/>
        </w:rPr>
        <w:t>pace</w:t>
      </w:r>
      <w:r>
        <w:rPr>
          <w:lang w:val="en-US"/>
        </w:rPr>
        <w:t xml:space="preserve"> as those that have occurred during the past 100 years. Not surprisingly, most of the ecological indicators will continue to be reduced in integrity in the upcoming decades. In many cases, performance of indicators begins to improve in about 50 years. This reversal in degradation, and the onset of improving trends, is directly the result of the reclaiming footprint of the energy sector</w:t>
      </w:r>
      <w:r w:rsidR="00EF3ABB">
        <w:rPr>
          <w:lang w:val="en-US"/>
        </w:rPr>
        <w:t>, particularly seismic lines</w:t>
      </w:r>
      <w:r>
        <w:rPr>
          <w:lang w:val="en-US"/>
        </w:rPr>
        <w:t>. If the optimistic reclamation rates used in these analyses are not realized, then the results presented herein may be highly optimistic.</w:t>
      </w:r>
    </w:p>
    <w:p w:rsidR="00894004" w:rsidRDefault="00894004" w:rsidP="00894004">
      <w:pPr>
        <w:pStyle w:val="Heading2"/>
      </w:pPr>
      <w:bookmarkStart w:id="378" w:name="_Toc326233162"/>
      <w:bookmarkStart w:id="379" w:name="_Toc338703740"/>
      <w:r>
        <w:t>Bitumen Production and Economic</w:t>
      </w:r>
      <w:bookmarkEnd w:id="378"/>
      <w:bookmarkEnd w:id="379"/>
    </w:p>
    <w:p w:rsidR="007D2B81" w:rsidRPr="006C6CDC" w:rsidRDefault="007D2B81" w:rsidP="007D2B81">
      <w:pPr>
        <w:pStyle w:val="BodyText"/>
        <w:rPr>
          <w:lang w:val="en-US"/>
        </w:rPr>
      </w:pPr>
      <w:r>
        <w:rPr>
          <w:lang w:val="en-US"/>
        </w:rPr>
        <w:t xml:space="preserve">It is clear that the hydrocarbon sector in the CLFN SA is a </w:t>
      </w:r>
      <w:r w:rsidR="005E5D96">
        <w:rPr>
          <w:lang w:val="en-US"/>
        </w:rPr>
        <w:t xml:space="preserve">key driver, at local, regional, and provincial scales, </w:t>
      </w:r>
      <w:r>
        <w:rPr>
          <w:lang w:val="en-US"/>
        </w:rPr>
        <w:t>of both revenues and employment. This stature is unlikely to change in upcoming decades.</w:t>
      </w:r>
      <w:r w:rsidR="005E5D96">
        <w:rPr>
          <w:lang w:val="en-US"/>
        </w:rPr>
        <w:t xml:space="preserve"> From the perspective of CLFN, a key issue is ensuring a robust and quantitative understanding of both the benefits and liabilities associated with the bitumen industry, and a dialogue that allows for the sharing of opportunities and risks by the CLFN.</w:t>
      </w:r>
    </w:p>
    <w:p w:rsidR="007D2B81" w:rsidRPr="007D2B81" w:rsidRDefault="007D2B81" w:rsidP="007D2B81">
      <w:pPr>
        <w:pStyle w:val="Heading3"/>
      </w:pPr>
      <w:bookmarkStart w:id="380" w:name="_Toc338703741"/>
      <w:r>
        <w:t>Bitumen and Heavy Oil Production Trajectories</w:t>
      </w:r>
      <w:bookmarkEnd w:id="380"/>
    </w:p>
    <w:p w:rsidR="00894004" w:rsidRPr="00E74329" w:rsidRDefault="00894004" w:rsidP="00894004">
      <w:pPr>
        <w:pStyle w:val="BodyText"/>
        <w:rPr>
          <w:lang w:val="en-US"/>
        </w:rPr>
      </w:pPr>
      <w:r>
        <w:rPr>
          <w:lang w:val="en-US"/>
        </w:rPr>
        <w:t>Simulated production of heavy oil and bitumen has been increasing during the past several decades in CLFN SA and now occurs at a rate of ~20</w:t>
      </w:r>
      <w:r w:rsidR="004D6FCF">
        <w:rPr>
          <w:lang w:val="en-US"/>
        </w:rPr>
        <w:t xml:space="preserve"> </w:t>
      </w:r>
      <w:r>
        <w:rPr>
          <w:lang w:val="en-US"/>
        </w:rPr>
        <w:t>M m</w:t>
      </w:r>
      <w:r w:rsidRPr="00482BAB">
        <w:rPr>
          <w:vertAlign w:val="superscript"/>
          <w:lang w:val="en-US"/>
        </w:rPr>
        <w:t>3</w:t>
      </w:r>
      <w:r>
        <w:rPr>
          <w:lang w:val="en-US"/>
        </w:rPr>
        <w:t>/yr (</w:t>
      </w:r>
      <w:r w:rsidR="00575CA7">
        <w:rPr>
          <w:lang w:val="en-US"/>
        </w:rPr>
        <w:fldChar w:fldCharType="begin"/>
      </w:r>
      <w:r w:rsidR="00D9732B">
        <w:rPr>
          <w:lang w:val="en-US"/>
        </w:rPr>
        <w:instrText xml:space="preserve"> REF _Ref326272328 \h </w:instrText>
      </w:r>
      <w:r w:rsidR="00575CA7">
        <w:rPr>
          <w:lang w:val="en-US"/>
        </w:rPr>
      </w:r>
      <w:r w:rsidR="00575CA7">
        <w:rPr>
          <w:lang w:val="en-US"/>
        </w:rPr>
        <w:fldChar w:fldCharType="separate"/>
      </w:r>
      <w:r w:rsidR="003648B8">
        <w:t xml:space="preserve">Figure </w:t>
      </w:r>
      <w:r w:rsidR="003648B8">
        <w:rPr>
          <w:noProof/>
        </w:rPr>
        <w:t>132</w:t>
      </w:r>
      <w:r w:rsidR="00575CA7">
        <w:rPr>
          <w:lang w:val="en-US"/>
        </w:rPr>
        <w:fldChar w:fldCharType="end"/>
      </w:r>
      <w:r>
        <w:rPr>
          <w:lang w:val="en-US"/>
        </w:rPr>
        <w:t>), or 440,000 bpd (</w:t>
      </w:r>
      <w:r w:rsidR="00575CA7">
        <w:rPr>
          <w:lang w:val="en-US"/>
        </w:rPr>
        <w:fldChar w:fldCharType="begin"/>
      </w:r>
      <w:r w:rsidR="00D9732B">
        <w:rPr>
          <w:lang w:val="en-US"/>
        </w:rPr>
        <w:instrText xml:space="preserve"> REF _Ref326272523 \h </w:instrText>
      </w:r>
      <w:r w:rsidR="00575CA7">
        <w:rPr>
          <w:lang w:val="en-US"/>
        </w:rPr>
      </w:r>
      <w:r w:rsidR="00575CA7">
        <w:rPr>
          <w:lang w:val="en-US"/>
        </w:rPr>
        <w:fldChar w:fldCharType="separate"/>
      </w:r>
      <w:r w:rsidR="003648B8">
        <w:t xml:space="preserve">Figure </w:t>
      </w:r>
      <w:r w:rsidR="003648B8">
        <w:rPr>
          <w:noProof/>
        </w:rPr>
        <w:t>133</w:t>
      </w:r>
      <w:r w:rsidR="00575CA7">
        <w:rPr>
          <w:lang w:val="en-US"/>
        </w:rPr>
        <w:fldChar w:fldCharType="end"/>
      </w:r>
      <w:r>
        <w:rPr>
          <w:lang w:val="en-US"/>
        </w:rPr>
        <w:t xml:space="preserve">). Production rates are projected to increase to ~34 </w:t>
      </w:r>
      <w:r w:rsidR="004D6FCF">
        <w:rPr>
          <w:lang w:val="en-US"/>
        </w:rPr>
        <w:t xml:space="preserve">M </w:t>
      </w:r>
      <w:r>
        <w:rPr>
          <w:lang w:val="en-US"/>
        </w:rPr>
        <w:t>m</w:t>
      </w:r>
      <w:r w:rsidRPr="00482BAB">
        <w:rPr>
          <w:vertAlign w:val="superscript"/>
          <w:lang w:val="en-US"/>
        </w:rPr>
        <w:t>3</w:t>
      </w:r>
      <w:r>
        <w:rPr>
          <w:lang w:val="en-US"/>
        </w:rPr>
        <w:t>/yr within 40 years before beginning to decline.</w:t>
      </w:r>
    </w:p>
    <w:p w:rsidR="00894004" w:rsidRDefault="00894004" w:rsidP="00894004">
      <w:pPr>
        <w:pStyle w:val="BodyText"/>
        <w:rPr>
          <w:lang w:val="en-US"/>
        </w:rPr>
      </w:pPr>
      <w:r>
        <w:rPr>
          <w:lang w:val="en-US"/>
        </w:rPr>
        <w:t>Although heavy oil and bitumen production using primary extraction and CSS have been the dominant extraction technologies historically, SAGD technologies are now being deployed in the region and are expected to grow in production during the next several decades. Annual production of bitumen from SAGD is expected to match that from CSS production within 8 decades (</w:t>
      </w:r>
      <w:r w:rsidR="00575CA7">
        <w:rPr>
          <w:lang w:val="en-US"/>
        </w:rPr>
        <w:fldChar w:fldCharType="begin"/>
      </w:r>
      <w:r w:rsidR="00D9732B">
        <w:rPr>
          <w:lang w:val="en-US"/>
        </w:rPr>
        <w:instrText xml:space="preserve"> REF _Ref326272524 \h </w:instrText>
      </w:r>
      <w:r w:rsidR="00575CA7">
        <w:rPr>
          <w:lang w:val="en-US"/>
        </w:rPr>
      </w:r>
      <w:r w:rsidR="00575CA7">
        <w:rPr>
          <w:lang w:val="en-US"/>
        </w:rPr>
        <w:fldChar w:fldCharType="separate"/>
      </w:r>
      <w:r w:rsidR="003648B8">
        <w:t xml:space="preserve">Figure </w:t>
      </w:r>
      <w:r w:rsidR="003648B8">
        <w:rPr>
          <w:noProof/>
        </w:rPr>
        <w:t>134</w:t>
      </w:r>
      <w:r w:rsidR="00575CA7">
        <w:rPr>
          <w:lang w:val="en-US"/>
        </w:rPr>
        <w:fldChar w:fldCharType="end"/>
      </w:r>
      <w:r>
        <w:rPr>
          <w:lang w:val="en-US"/>
        </w:rPr>
        <w:t>).</w:t>
      </w:r>
    </w:p>
    <w:p w:rsidR="00894004" w:rsidRPr="002461E1" w:rsidRDefault="00894004" w:rsidP="00894004">
      <w:pPr>
        <w:pStyle w:val="BodyText"/>
        <w:rPr>
          <w:lang w:val="en-US"/>
        </w:rPr>
      </w:pPr>
      <w:r>
        <w:rPr>
          <w:lang w:val="en-US"/>
        </w:rPr>
        <w:t>Cumulative production of bitumen is projected to approach 5 B m</w:t>
      </w:r>
      <w:r w:rsidRPr="00482BAB">
        <w:rPr>
          <w:vertAlign w:val="superscript"/>
          <w:lang w:val="en-US"/>
        </w:rPr>
        <w:t>3</w:t>
      </w:r>
      <w:r>
        <w:rPr>
          <w:lang w:val="en-US"/>
        </w:rPr>
        <w:t xml:space="preserve"> by the end of the simulation period (</w:t>
      </w:r>
      <w:fldSimple w:instr=" REF _Ref326267679 \h  \* MERGEFORMAT ">
        <w:r w:rsidR="003648B8">
          <w:t xml:space="preserve">Figure </w:t>
        </w:r>
        <w:r w:rsidR="003648B8">
          <w:rPr>
            <w:noProof/>
          </w:rPr>
          <w:t>135</w:t>
        </w:r>
      </w:fldSimple>
      <w:r>
        <w:rPr>
          <w:lang w:val="en-US"/>
        </w:rPr>
        <w:t>), of which ~50% will have been extracted by CSS, 40% from SAGD, and 10% from primary extraction</w:t>
      </w:r>
      <w:r w:rsidR="004D6FCF">
        <w:rPr>
          <w:lang w:val="en-US"/>
        </w:rPr>
        <w:t xml:space="preserve"> (</w:t>
      </w:r>
      <w:fldSimple w:instr=" REF _Ref326267681 \h  \* MERGEFORMAT ">
        <w:r w:rsidR="003648B8">
          <w:t xml:space="preserve">Figure </w:t>
        </w:r>
        <w:r w:rsidR="003648B8">
          <w:rPr>
            <w:noProof/>
          </w:rPr>
          <w:t>136</w:t>
        </w:r>
      </w:fldSimple>
      <w:r w:rsidR="004D6FCF">
        <w:rPr>
          <w:lang w:val="en-US"/>
        </w:rPr>
        <w:t>)</w:t>
      </w:r>
      <w:r>
        <w:rPr>
          <w:lang w:val="en-US"/>
        </w:rPr>
        <w:t>.</w:t>
      </w:r>
    </w:p>
    <w:p w:rsidR="00894004" w:rsidRPr="00E74329" w:rsidRDefault="00894004" w:rsidP="00894004">
      <w:pPr>
        <w:pStyle w:val="BodyText"/>
        <w:rPr>
          <w:lang w:val="en-US"/>
        </w:rPr>
      </w:pPr>
    </w:p>
    <w:p w:rsidR="00894004" w:rsidRDefault="00894004" w:rsidP="00894004">
      <w:pPr>
        <w:pStyle w:val="BodyText"/>
        <w:keepNext/>
        <w:spacing w:after="0"/>
      </w:pPr>
      <w:r>
        <w:rPr>
          <w:noProof/>
          <w:lang w:val="en-US"/>
        </w:rPr>
        <w:lastRenderedPageBreak/>
        <w:drawing>
          <wp:inline distT="0" distB="0" distL="0" distR="0">
            <wp:extent cx="4760646" cy="3600000"/>
            <wp:effectExtent l="19050" t="19050" r="20904" b="1950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cstate="print"/>
                    <a:srcRect/>
                    <a:stretch>
                      <a:fillRect/>
                    </a:stretch>
                  </pic:blipFill>
                  <pic:spPr bwMode="auto">
                    <a:xfrm>
                      <a:off x="0" y="0"/>
                      <a:ext cx="4760646"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381" w:name="_Ref326272328"/>
      <w:bookmarkStart w:id="382" w:name="_Toc326233039"/>
      <w:bookmarkStart w:id="383" w:name="_Toc338703911"/>
      <w:proofErr w:type="gramStart"/>
      <w:r>
        <w:t xml:space="preserve">Figure </w:t>
      </w:r>
      <w:fldSimple w:instr=" SEQ Figure \* ARABIC ">
        <w:r w:rsidR="00A02D22">
          <w:rPr>
            <w:noProof/>
          </w:rPr>
          <w:t>132</w:t>
        </w:r>
      </w:fldSimple>
      <w:bookmarkEnd w:id="381"/>
      <w:r>
        <w:t>.</w:t>
      </w:r>
      <w:proofErr w:type="gramEnd"/>
      <w:r>
        <w:t xml:space="preserve"> </w:t>
      </w:r>
      <w:proofErr w:type="gramStart"/>
      <w:r>
        <w:t>Changes in annual bitumen production (</w:t>
      </w:r>
      <w:r>
        <w:rPr>
          <w:lang w:val="en-US"/>
        </w:rPr>
        <w:t>m</w:t>
      </w:r>
      <w:r w:rsidRPr="00482BAB">
        <w:rPr>
          <w:vertAlign w:val="superscript"/>
          <w:lang w:val="en-US"/>
        </w:rPr>
        <w:t>3</w:t>
      </w:r>
      <w:r>
        <w:t>/yr) in CLFN SA.</w:t>
      </w:r>
      <w:bookmarkEnd w:id="383"/>
      <w:proofErr w:type="gramEnd"/>
      <w:r>
        <w:t xml:space="preserve"> </w:t>
      </w:r>
      <w:bookmarkEnd w:id="382"/>
    </w:p>
    <w:p w:rsidR="00FF455E" w:rsidRPr="00FF455E" w:rsidRDefault="00FF455E" w:rsidP="00FF455E">
      <w:pPr>
        <w:rPr>
          <w:lang w:eastAsia="en-CA"/>
        </w:rPr>
      </w:pPr>
    </w:p>
    <w:p w:rsidR="00A911B8" w:rsidRPr="00A911B8" w:rsidRDefault="00A911B8" w:rsidP="00A911B8">
      <w:pPr>
        <w:rPr>
          <w:lang w:eastAsia="en-CA"/>
        </w:rPr>
      </w:pPr>
    </w:p>
    <w:p w:rsidR="00894004" w:rsidRDefault="00894004" w:rsidP="00894004">
      <w:pPr>
        <w:pStyle w:val="BodyText"/>
        <w:keepNext/>
        <w:spacing w:after="0"/>
      </w:pPr>
      <w:r>
        <w:rPr>
          <w:noProof/>
          <w:lang w:val="en-US"/>
        </w:rPr>
        <w:drawing>
          <wp:inline distT="0" distB="0" distL="0" distR="0">
            <wp:extent cx="4755963" cy="3600000"/>
            <wp:effectExtent l="19050" t="19050" r="25587" b="19500"/>
            <wp:docPr id="76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53" cstate="print"/>
                    <a:srcRect/>
                    <a:stretch>
                      <a:fillRect/>
                    </a:stretch>
                  </pic:blipFill>
                  <pic:spPr bwMode="auto">
                    <a:xfrm>
                      <a:off x="0" y="0"/>
                      <a:ext cx="4755963"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Pr="00C24923" w:rsidRDefault="00894004" w:rsidP="00894004">
      <w:pPr>
        <w:pStyle w:val="Caption"/>
        <w:rPr>
          <w:lang w:val="en-US"/>
        </w:rPr>
      </w:pPr>
      <w:bookmarkStart w:id="384" w:name="_Ref326272523"/>
      <w:bookmarkStart w:id="385" w:name="_Toc326233040"/>
      <w:bookmarkStart w:id="386" w:name="_Toc338703912"/>
      <w:proofErr w:type="gramStart"/>
      <w:r>
        <w:t xml:space="preserve">Figure </w:t>
      </w:r>
      <w:fldSimple w:instr=" SEQ Figure \* ARABIC ">
        <w:r w:rsidR="00A02D22">
          <w:rPr>
            <w:noProof/>
          </w:rPr>
          <w:t>133</w:t>
        </w:r>
      </w:fldSimple>
      <w:bookmarkEnd w:id="384"/>
      <w:r>
        <w:t>.</w:t>
      </w:r>
      <w:proofErr w:type="gramEnd"/>
      <w:r>
        <w:t xml:space="preserve"> </w:t>
      </w:r>
      <w:proofErr w:type="gramStart"/>
      <w:r>
        <w:t>Changes in annual bitumen production (barrels/day) in CLFN SA.</w:t>
      </w:r>
      <w:bookmarkEnd w:id="386"/>
      <w:proofErr w:type="gramEnd"/>
      <w:r>
        <w:t xml:space="preserve"> </w:t>
      </w:r>
      <w:bookmarkEnd w:id="385"/>
    </w:p>
    <w:p w:rsidR="00894004" w:rsidRDefault="00894004" w:rsidP="00894004">
      <w:pPr>
        <w:pStyle w:val="Caption"/>
        <w:rPr>
          <w:lang w:val="en-US"/>
        </w:rPr>
      </w:pPr>
    </w:p>
    <w:p w:rsidR="00894004" w:rsidRDefault="00894004" w:rsidP="00894004">
      <w:pPr>
        <w:pStyle w:val="BodyText"/>
        <w:keepNext/>
        <w:spacing w:after="0"/>
      </w:pPr>
      <w:r>
        <w:rPr>
          <w:noProof/>
          <w:lang w:val="en-US"/>
        </w:rPr>
        <w:lastRenderedPageBreak/>
        <w:drawing>
          <wp:inline distT="0" distB="0" distL="0" distR="0">
            <wp:extent cx="4760646" cy="3600000"/>
            <wp:effectExtent l="19050" t="19050" r="20904" b="19500"/>
            <wp:docPr id="7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cstate="print"/>
                    <a:srcRect/>
                    <a:stretch>
                      <a:fillRect/>
                    </a:stretch>
                  </pic:blipFill>
                  <pic:spPr bwMode="auto">
                    <a:xfrm>
                      <a:off x="0" y="0"/>
                      <a:ext cx="4760646" cy="3600000"/>
                    </a:xfrm>
                    <a:prstGeom prst="rect">
                      <a:avLst/>
                    </a:prstGeom>
                    <a:noFill/>
                    <a:ln w="22225">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387" w:name="_Ref326272524"/>
      <w:bookmarkStart w:id="388" w:name="_Toc326233041"/>
      <w:bookmarkStart w:id="389" w:name="_Toc338703913"/>
      <w:proofErr w:type="gramStart"/>
      <w:r>
        <w:t xml:space="preserve">Figure </w:t>
      </w:r>
      <w:fldSimple w:instr=" SEQ Figure \* ARABIC ">
        <w:r w:rsidR="00A02D22">
          <w:rPr>
            <w:noProof/>
          </w:rPr>
          <w:t>134</w:t>
        </w:r>
      </w:fldSimple>
      <w:bookmarkEnd w:id="387"/>
      <w:r>
        <w:t>.</w:t>
      </w:r>
      <w:proofErr w:type="gramEnd"/>
      <w:r>
        <w:t xml:space="preserve"> </w:t>
      </w:r>
      <w:proofErr w:type="gramStart"/>
      <w:r>
        <w:t>Changes in annual bitumen production (</w:t>
      </w:r>
      <w:r>
        <w:rPr>
          <w:lang w:val="en-US"/>
        </w:rPr>
        <w:t>m</w:t>
      </w:r>
      <w:r w:rsidRPr="00482BAB">
        <w:rPr>
          <w:vertAlign w:val="superscript"/>
          <w:lang w:val="en-US"/>
        </w:rPr>
        <w:t>3</w:t>
      </w:r>
      <w:r>
        <w:t>/yr) from different oil extraction technologies in CLFN SA.</w:t>
      </w:r>
      <w:bookmarkEnd w:id="389"/>
      <w:proofErr w:type="gramEnd"/>
      <w:r>
        <w:t xml:space="preserve"> </w:t>
      </w:r>
      <w:bookmarkEnd w:id="388"/>
    </w:p>
    <w:p w:rsidR="004D6FCF" w:rsidRPr="004D6FCF" w:rsidRDefault="004D6FCF" w:rsidP="004D6FCF">
      <w:pPr>
        <w:rPr>
          <w:lang w:eastAsia="en-CA"/>
        </w:rPr>
      </w:pPr>
    </w:p>
    <w:p w:rsidR="00894004" w:rsidRDefault="00894004" w:rsidP="00894004">
      <w:pPr>
        <w:pStyle w:val="BodyText"/>
        <w:keepNext/>
        <w:spacing w:after="0"/>
      </w:pPr>
      <w:r>
        <w:rPr>
          <w:noProof/>
          <w:lang w:val="en-US"/>
        </w:rPr>
        <w:drawing>
          <wp:inline distT="0" distB="0" distL="0" distR="0">
            <wp:extent cx="4760646" cy="3600000"/>
            <wp:effectExtent l="19050" t="19050" r="20904" b="19500"/>
            <wp:docPr id="7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5" cstate="print"/>
                    <a:srcRect/>
                    <a:stretch>
                      <a:fillRect/>
                    </a:stretch>
                  </pic:blipFill>
                  <pic:spPr bwMode="auto">
                    <a:xfrm>
                      <a:off x="0" y="0"/>
                      <a:ext cx="4760646"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rPr>
          <w:lang w:val="en-US"/>
        </w:rPr>
      </w:pPr>
      <w:bookmarkStart w:id="390" w:name="_Ref326267679"/>
      <w:bookmarkStart w:id="391" w:name="_Toc326233042"/>
      <w:bookmarkStart w:id="392" w:name="_Toc338703914"/>
      <w:proofErr w:type="gramStart"/>
      <w:r>
        <w:t xml:space="preserve">Figure </w:t>
      </w:r>
      <w:fldSimple w:instr=" SEQ Figure \* ARABIC ">
        <w:r w:rsidR="00A02D22">
          <w:rPr>
            <w:noProof/>
          </w:rPr>
          <w:t>135</w:t>
        </w:r>
      </w:fldSimple>
      <w:bookmarkEnd w:id="390"/>
      <w:r>
        <w:t>.</w:t>
      </w:r>
      <w:proofErr w:type="gramEnd"/>
      <w:r>
        <w:t xml:space="preserve"> Changes in cumulative bitumen production in CLFN SA.</w:t>
      </w:r>
      <w:bookmarkEnd w:id="392"/>
      <w:r>
        <w:t xml:space="preserve"> </w:t>
      </w:r>
      <w:bookmarkEnd w:id="391"/>
    </w:p>
    <w:p w:rsidR="00894004" w:rsidRDefault="00894004" w:rsidP="00894004">
      <w:pPr>
        <w:pStyle w:val="BodyText"/>
        <w:keepNext/>
        <w:spacing w:after="0"/>
      </w:pPr>
      <w:r>
        <w:rPr>
          <w:noProof/>
          <w:lang w:val="en-US"/>
        </w:rPr>
        <w:lastRenderedPageBreak/>
        <w:drawing>
          <wp:inline distT="0" distB="0" distL="0" distR="0">
            <wp:extent cx="4760646" cy="3600000"/>
            <wp:effectExtent l="19050" t="19050" r="20904" b="1950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6" cstate="print"/>
                    <a:srcRect/>
                    <a:stretch>
                      <a:fillRect/>
                    </a:stretch>
                  </pic:blipFill>
                  <pic:spPr bwMode="auto">
                    <a:xfrm>
                      <a:off x="0" y="0"/>
                      <a:ext cx="4760646"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rPr>
          <w:lang w:val="en-US"/>
        </w:rPr>
      </w:pPr>
      <w:bookmarkStart w:id="393" w:name="_Ref326267681"/>
      <w:bookmarkStart w:id="394" w:name="_Toc326233043"/>
      <w:bookmarkStart w:id="395" w:name="_Toc338703915"/>
      <w:proofErr w:type="gramStart"/>
      <w:r>
        <w:t xml:space="preserve">Figure </w:t>
      </w:r>
      <w:fldSimple w:instr=" SEQ Figure \* ARABIC ">
        <w:r w:rsidR="00A02D22">
          <w:rPr>
            <w:noProof/>
          </w:rPr>
          <w:t>136</w:t>
        </w:r>
      </w:fldSimple>
      <w:bookmarkEnd w:id="393"/>
      <w:r>
        <w:t>.</w:t>
      </w:r>
      <w:proofErr w:type="gramEnd"/>
      <w:r>
        <w:t xml:space="preserve"> Changes in cumulative oil and bitumen production in CLFN SA.</w:t>
      </w:r>
      <w:bookmarkEnd w:id="395"/>
      <w:r>
        <w:t xml:space="preserve"> </w:t>
      </w:r>
      <w:bookmarkEnd w:id="394"/>
    </w:p>
    <w:p w:rsidR="00280E0C" w:rsidRDefault="00280E0C">
      <w:pPr>
        <w:spacing w:after="200" w:line="276" w:lineRule="auto"/>
        <w:rPr>
          <w:rFonts w:ascii="Arial" w:hAnsi="Arial"/>
          <w:b/>
          <w:kern w:val="28"/>
          <w:lang w:val="en-US"/>
        </w:rPr>
      </w:pPr>
      <w:bookmarkStart w:id="396" w:name="_Toc326233163"/>
      <w:r>
        <w:br w:type="page"/>
      </w:r>
    </w:p>
    <w:p w:rsidR="00894004" w:rsidRDefault="00894004" w:rsidP="00894004">
      <w:pPr>
        <w:pStyle w:val="Heading3"/>
      </w:pPr>
      <w:bookmarkStart w:id="397" w:name="_Toc338703742"/>
      <w:r>
        <w:lastRenderedPageBreak/>
        <w:t>Bitumen and Heavy Oil Revenues</w:t>
      </w:r>
      <w:bookmarkEnd w:id="396"/>
      <w:bookmarkEnd w:id="397"/>
    </w:p>
    <w:p w:rsidR="00894004" w:rsidRPr="004D6FCF" w:rsidRDefault="00894004" w:rsidP="00894004">
      <w:pPr>
        <w:pStyle w:val="BodyText"/>
        <w:rPr>
          <w:lang w:val="en-US"/>
        </w:rPr>
      </w:pPr>
      <w:r w:rsidRPr="004D6FCF">
        <w:rPr>
          <w:lang w:val="en-US"/>
        </w:rPr>
        <w:t xml:space="preserve">Based on a key assumption that historical and future bitumen/oil commodity pricing </w:t>
      </w:r>
      <w:r w:rsidR="004D6FCF">
        <w:rPr>
          <w:lang w:val="en-US"/>
        </w:rPr>
        <w:t>remains</w:t>
      </w:r>
      <w:r w:rsidRPr="004D6FCF">
        <w:rPr>
          <w:lang w:val="en-US"/>
        </w:rPr>
        <w:t xml:space="preserve"> at constant </w:t>
      </w:r>
      <w:r w:rsidR="004D6FCF">
        <w:rPr>
          <w:lang w:val="en-US"/>
        </w:rPr>
        <w:t xml:space="preserve">2012 </w:t>
      </w:r>
      <w:r w:rsidRPr="004D6FCF">
        <w:rPr>
          <w:lang w:val="en-US"/>
        </w:rPr>
        <w:t>net-back values (350$/m</w:t>
      </w:r>
      <w:r w:rsidRPr="004D6FCF">
        <w:rPr>
          <w:vertAlign w:val="superscript"/>
          <w:lang w:val="en-US"/>
        </w:rPr>
        <w:t>3</w:t>
      </w:r>
      <w:r w:rsidR="004D6FCF">
        <w:rPr>
          <w:lang w:val="en-US"/>
        </w:rPr>
        <w:t>, Alex Lemmens, pers. comm, 2012)</w:t>
      </w:r>
      <w:r w:rsidRPr="004D6FCF">
        <w:rPr>
          <w:lang w:val="en-US"/>
        </w:rPr>
        <w:t>, the gross annual revenue generated from CLFN SA bitumen production is currently at ~$8B (</w:t>
      </w:r>
      <w:r w:rsidR="00575CA7">
        <w:rPr>
          <w:lang w:val="en-US"/>
        </w:rPr>
        <w:fldChar w:fldCharType="begin"/>
      </w:r>
      <w:r w:rsidR="00D9732B">
        <w:rPr>
          <w:lang w:val="en-US"/>
        </w:rPr>
        <w:instrText xml:space="preserve"> REF _Ref326272560 \h </w:instrText>
      </w:r>
      <w:r w:rsidR="00575CA7">
        <w:rPr>
          <w:lang w:val="en-US"/>
        </w:rPr>
      </w:r>
      <w:r w:rsidR="00575CA7">
        <w:rPr>
          <w:lang w:val="en-US"/>
        </w:rPr>
        <w:fldChar w:fldCharType="separate"/>
      </w:r>
      <w:r w:rsidR="003648B8">
        <w:t xml:space="preserve">Figure </w:t>
      </w:r>
      <w:r w:rsidR="003648B8">
        <w:rPr>
          <w:noProof/>
        </w:rPr>
        <w:t>137</w:t>
      </w:r>
      <w:r w:rsidR="00575CA7">
        <w:rPr>
          <w:lang w:val="en-US"/>
        </w:rPr>
        <w:fldChar w:fldCharType="end"/>
      </w:r>
      <w:r w:rsidRPr="004D6FCF">
        <w:rPr>
          <w:lang w:val="en-US"/>
        </w:rPr>
        <w:t xml:space="preserve">). </w:t>
      </w:r>
      <w:r w:rsidR="004D6FCF">
        <w:rPr>
          <w:lang w:val="en-US"/>
        </w:rPr>
        <w:t>CLFN SA bitumen</w:t>
      </w:r>
      <w:r w:rsidRPr="004D6FCF">
        <w:rPr>
          <w:lang w:val="en-US"/>
        </w:rPr>
        <w:t xml:space="preserve"> revenues are expected to increase for 30-40 years where they will achieve maximum annual values of ~$13B</w:t>
      </w:r>
      <w:r w:rsidR="004D6FCF">
        <w:rPr>
          <w:lang w:val="en-US"/>
        </w:rPr>
        <w:t>/yr</w:t>
      </w:r>
      <w:r w:rsidRPr="004D6FCF">
        <w:rPr>
          <w:lang w:val="en-US"/>
        </w:rPr>
        <w:t>. Beyond Yr 40 (2050), bitumen production levels and annual revenues are forecast to decline incrementally.</w:t>
      </w:r>
    </w:p>
    <w:p w:rsidR="00894004" w:rsidRPr="004D6FCF" w:rsidRDefault="00894004" w:rsidP="00894004">
      <w:pPr>
        <w:pStyle w:val="BodyText"/>
        <w:rPr>
          <w:lang w:val="en-US"/>
        </w:rPr>
      </w:pPr>
      <w:r w:rsidRPr="004D6FCF">
        <w:rPr>
          <w:lang w:val="en-US"/>
        </w:rPr>
        <w:t>Those</w:t>
      </w:r>
      <w:r w:rsidR="004D6FCF">
        <w:rPr>
          <w:lang w:val="en-US"/>
        </w:rPr>
        <w:t xml:space="preserve"> who believe the constant $350/</w:t>
      </w:r>
      <w:r w:rsidRPr="004D6FCF">
        <w:rPr>
          <w:lang w:val="en-US"/>
        </w:rPr>
        <w:t>m</w:t>
      </w:r>
      <w:r w:rsidRPr="004D6FCF">
        <w:rPr>
          <w:vertAlign w:val="superscript"/>
          <w:lang w:val="en-US"/>
        </w:rPr>
        <w:t>3</w:t>
      </w:r>
      <w:r w:rsidRPr="004D6FCF">
        <w:rPr>
          <w:lang w:val="en-US"/>
        </w:rPr>
        <w:t xml:space="preserve"> commodity price used in these analyses is either too high or too low can simply apply an adjustment ratio to compute changes in either net or cumulative values. As long as market demand and price do not exhibit significant temporal variation, the shape of the gross and cumulative revenues from CLFN SA would be unlikely to change.</w:t>
      </w:r>
    </w:p>
    <w:p w:rsidR="00894004" w:rsidRPr="004D6FCF" w:rsidRDefault="004D6FCF" w:rsidP="00894004">
      <w:pPr>
        <w:pStyle w:val="BodyText"/>
        <w:rPr>
          <w:lang w:val="en-US"/>
        </w:rPr>
      </w:pPr>
      <w:r>
        <w:rPr>
          <w:lang w:val="en-US"/>
        </w:rPr>
        <w:t>As of 2012,</w:t>
      </w:r>
      <w:r w:rsidR="00894004" w:rsidRPr="004D6FCF">
        <w:rPr>
          <w:lang w:val="en-US"/>
        </w:rPr>
        <w:t xml:space="preserve"> cumulative revenue generated from CLFN SA bitumen production is </w:t>
      </w:r>
      <w:r>
        <w:rPr>
          <w:lang w:val="en-US"/>
        </w:rPr>
        <w:t>estimated</w:t>
      </w:r>
      <w:r w:rsidR="00894004" w:rsidRPr="004D6FCF">
        <w:rPr>
          <w:lang w:val="en-US"/>
        </w:rPr>
        <w:t xml:space="preserve"> at $192B (</w:t>
      </w:r>
      <w:r w:rsidR="00575CA7">
        <w:rPr>
          <w:lang w:val="en-US"/>
        </w:rPr>
        <w:fldChar w:fldCharType="begin"/>
      </w:r>
      <w:r w:rsidR="001D7218">
        <w:rPr>
          <w:lang w:val="en-US"/>
        </w:rPr>
        <w:instrText xml:space="preserve"> REF _Ref326272610 \h </w:instrText>
      </w:r>
      <w:r w:rsidR="00575CA7">
        <w:rPr>
          <w:lang w:val="en-US"/>
        </w:rPr>
      </w:r>
      <w:r w:rsidR="00575CA7">
        <w:rPr>
          <w:lang w:val="en-US"/>
        </w:rPr>
        <w:fldChar w:fldCharType="separate"/>
      </w:r>
      <w:r w:rsidR="003648B8">
        <w:t xml:space="preserve">Figure </w:t>
      </w:r>
      <w:r w:rsidR="003648B8">
        <w:rPr>
          <w:noProof/>
        </w:rPr>
        <w:t>138</w:t>
      </w:r>
      <w:r w:rsidR="00575CA7">
        <w:rPr>
          <w:lang w:val="en-US"/>
        </w:rPr>
        <w:fldChar w:fldCharType="end"/>
      </w:r>
      <w:r w:rsidR="00894004" w:rsidRPr="004D6FCF">
        <w:rPr>
          <w:lang w:val="en-US"/>
        </w:rPr>
        <w:t xml:space="preserve">). These cumulative revenues are expected to increase to ~$1.92T </w:t>
      </w:r>
      <w:r>
        <w:rPr>
          <w:lang w:val="en-US"/>
        </w:rPr>
        <w:t>within 200 years when</w:t>
      </w:r>
      <w:r w:rsidR="00894004" w:rsidRPr="004D6FCF">
        <w:rPr>
          <w:lang w:val="en-US"/>
        </w:rPr>
        <w:t xml:space="preserve"> ~5 B m</w:t>
      </w:r>
      <w:r w:rsidR="00894004" w:rsidRPr="004D6FCF">
        <w:rPr>
          <w:vertAlign w:val="superscript"/>
          <w:lang w:val="en-US"/>
        </w:rPr>
        <w:t>3</w:t>
      </w:r>
      <w:r w:rsidR="00894004" w:rsidRPr="004D6FCF">
        <w:rPr>
          <w:lang w:val="en-US"/>
        </w:rPr>
        <w:t xml:space="preserve"> of bitumen have been extracted and marketed.</w:t>
      </w:r>
    </w:p>
    <w:p w:rsidR="00894004" w:rsidRDefault="00894004" w:rsidP="00894004">
      <w:pPr>
        <w:pStyle w:val="BodyText"/>
        <w:rPr>
          <w:lang w:val="en-US"/>
        </w:rPr>
      </w:pPr>
      <w:r w:rsidRPr="004D6FCF">
        <w:rPr>
          <w:lang w:val="en-US"/>
        </w:rPr>
        <w:t xml:space="preserve">A revenue sharing arrangement was explored </w:t>
      </w:r>
      <w:r w:rsidR="004D6FCF">
        <w:rPr>
          <w:lang w:val="en-US"/>
        </w:rPr>
        <w:t xml:space="preserve">using the ALCES simulator whereby 5 cents/barrel </w:t>
      </w:r>
      <w:r w:rsidRPr="004D6FCF">
        <w:rPr>
          <w:lang w:val="en-US"/>
        </w:rPr>
        <w:t>(equivalent to 0.3145$/m</w:t>
      </w:r>
      <w:r w:rsidRPr="004D6FCF">
        <w:rPr>
          <w:vertAlign w:val="superscript"/>
          <w:lang w:val="en-US"/>
        </w:rPr>
        <w:t>3</w:t>
      </w:r>
      <w:r w:rsidRPr="004D6FCF">
        <w:rPr>
          <w:lang w:val="en-US"/>
        </w:rPr>
        <w:t>) would be paid to CLFN based on bitumen produced on the C</w:t>
      </w:r>
      <w:r w:rsidR="004D6FCF">
        <w:rPr>
          <w:lang w:val="en-US"/>
        </w:rPr>
        <w:t>LFN SA. This amount reflects ~0.089</w:t>
      </w:r>
      <w:r w:rsidRPr="004D6FCF">
        <w:rPr>
          <w:lang w:val="en-US"/>
        </w:rPr>
        <w:t>% of the current market value paid to the producer. The results of this “what-if” scenario (</w:t>
      </w:r>
      <w:r w:rsidR="00575CA7">
        <w:rPr>
          <w:lang w:val="en-US"/>
        </w:rPr>
        <w:fldChar w:fldCharType="begin"/>
      </w:r>
      <w:r w:rsidR="00280E0C">
        <w:rPr>
          <w:lang w:val="en-US"/>
        </w:rPr>
        <w:instrText xml:space="preserve"> REF _Ref326268157 \h </w:instrText>
      </w:r>
      <w:r w:rsidR="00575CA7">
        <w:rPr>
          <w:lang w:val="en-US"/>
        </w:rPr>
      </w:r>
      <w:r w:rsidR="00575CA7">
        <w:rPr>
          <w:lang w:val="en-US"/>
        </w:rPr>
        <w:fldChar w:fldCharType="separate"/>
      </w:r>
      <w:r w:rsidR="003648B8">
        <w:t xml:space="preserve">Figure </w:t>
      </w:r>
      <w:r w:rsidR="003648B8">
        <w:rPr>
          <w:noProof/>
        </w:rPr>
        <w:t>139</w:t>
      </w:r>
      <w:r w:rsidR="00575CA7">
        <w:rPr>
          <w:lang w:val="en-US"/>
        </w:rPr>
        <w:fldChar w:fldCharType="end"/>
      </w:r>
      <w:r w:rsidR="00280E0C">
        <w:rPr>
          <w:lang w:val="en-US"/>
        </w:rPr>
        <w:t xml:space="preserve">, </w:t>
      </w:r>
      <w:r w:rsidR="00575CA7">
        <w:rPr>
          <w:lang w:val="en-US"/>
        </w:rPr>
        <w:fldChar w:fldCharType="begin"/>
      </w:r>
      <w:r w:rsidR="00280E0C">
        <w:rPr>
          <w:lang w:val="en-US"/>
        </w:rPr>
        <w:instrText xml:space="preserve"> REF _Ref326268158 \h </w:instrText>
      </w:r>
      <w:r w:rsidR="00575CA7">
        <w:rPr>
          <w:lang w:val="en-US"/>
        </w:rPr>
      </w:r>
      <w:r w:rsidR="00575CA7">
        <w:rPr>
          <w:lang w:val="en-US"/>
        </w:rPr>
        <w:fldChar w:fldCharType="separate"/>
      </w:r>
      <w:r w:rsidR="003648B8">
        <w:t xml:space="preserve">Figure </w:t>
      </w:r>
      <w:r w:rsidR="003648B8">
        <w:rPr>
          <w:noProof/>
        </w:rPr>
        <w:t>140</w:t>
      </w:r>
      <w:r w:rsidR="00575CA7">
        <w:rPr>
          <w:lang w:val="en-US"/>
        </w:rPr>
        <w:fldChar w:fldCharType="end"/>
      </w:r>
      <w:r w:rsidRPr="004D6FCF">
        <w:rPr>
          <w:lang w:val="en-US"/>
        </w:rPr>
        <w:t>) illustrate the relative revenue streams of both annual and cumulative payments to each of the energy sector and CLFN.</w:t>
      </w:r>
      <w:r w:rsidR="005E5D96">
        <w:rPr>
          <w:lang w:val="en-US"/>
        </w:rPr>
        <w:t xml:space="preserve"> To emphasize the minute fraction of revenue that would be directed to CLFN with this approach, the cumulative values are expressed using an identical scale in </w:t>
      </w:r>
      <w:r w:rsidR="00575CA7">
        <w:rPr>
          <w:lang w:val="en-US"/>
        </w:rPr>
        <w:fldChar w:fldCharType="begin"/>
      </w:r>
      <w:r w:rsidR="005E5D96">
        <w:rPr>
          <w:lang w:val="en-US"/>
        </w:rPr>
        <w:instrText xml:space="preserve"> REF _Ref326306135 \h </w:instrText>
      </w:r>
      <w:r w:rsidR="00575CA7">
        <w:rPr>
          <w:lang w:val="en-US"/>
        </w:rPr>
      </w:r>
      <w:r w:rsidR="00575CA7">
        <w:rPr>
          <w:lang w:val="en-US"/>
        </w:rPr>
        <w:fldChar w:fldCharType="separate"/>
      </w:r>
      <w:r w:rsidR="003648B8">
        <w:t xml:space="preserve">Figure </w:t>
      </w:r>
      <w:r w:rsidR="003648B8">
        <w:rPr>
          <w:noProof/>
        </w:rPr>
        <w:t>141</w:t>
      </w:r>
      <w:r w:rsidR="00575CA7">
        <w:rPr>
          <w:lang w:val="en-US"/>
        </w:rPr>
        <w:fldChar w:fldCharType="end"/>
      </w:r>
      <w:r w:rsidR="005E5D96">
        <w:rPr>
          <w:lang w:val="en-US"/>
        </w:rPr>
        <w:t>.</w:t>
      </w:r>
    </w:p>
    <w:p w:rsidR="005E5D96" w:rsidRPr="002461E1" w:rsidRDefault="0044101A" w:rsidP="00894004">
      <w:pPr>
        <w:pStyle w:val="BodyText"/>
        <w:rPr>
          <w:lang w:val="en-US"/>
        </w:rPr>
      </w:pPr>
      <w:r>
        <w:rPr>
          <w:lang w:val="en-US"/>
        </w:rPr>
        <w:t xml:space="preserve"> </w:t>
      </w:r>
    </w:p>
    <w:p w:rsidR="00894004" w:rsidRDefault="00894004" w:rsidP="00894004">
      <w:pPr>
        <w:pStyle w:val="BodyText"/>
        <w:keepNext/>
        <w:spacing w:after="0"/>
      </w:pPr>
      <w:r>
        <w:rPr>
          <w:noProof/>
          <w:lang w:val="en-US"/>
        </w:rPr>
        <w:lastRenderedPageBreak/>
        <w:drawing>
          <wp:inline distT="0" distB="0" distL="0" distR="0">
            <wp:extent cx="4755963" cy="3600000"/>
            <wp:effectExtent l="19050" t="19050" r="25587" b="19500"/>
            <wp:docPr id="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cstate="print"/>
                    <a:srcRect/>
                    <a:stretch>
                      <a:fillRect/>
                    </a:stretch>
                  </pic:blipFill>
                  <pic:spPr bwMode="auto">
                    <a:xfrm>
                      <a:off x="0" y="0"/>
                      <a:ext cx="4755963"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398" w:name="_Ref326272560"/>
      <w:bookmarkStart w:id="399" w:name="_Toc326233044"/>
      <w:bookmarkStart w:id="400" w:name="_Toc338703916"/>
      <w:proofErr w:type="gramStart"/>
      <w:r>
        <w:t xml:space="preserve">Figure </w:t>
      </w:r>
      <w:fldSimple w:instr=" SEQ Figure \* ARABIC ">
        <w:r w:rsidR="00A02D22">
          <w:rPr>
            <w:noProof/>
          </w:rPr>
          <w:t>137</w:t>
        </w:r>
      </w:fldSimple>
      <w:bookmarkEnd w:id="398"/>
      <w:r>
        <w:t>.</w:t>
      </w:r>
      <w:proofErr w:type="gramEnd"/>
      <w:r>
        <w:t xml:space="preserve"> Changes in annual bitumen revenues in CLFN SA.</w:t>
      </w:r>
      <w:bookmarkEnd w:id="400"/>
      <w:r>
        <w:t xml:space="preserve"> </w:t>
      </w:r>
      <w:bookmarkEnd w:id="399"/>
    </w:p>
    <w:p w:rsidR="00894004" w:rsidRPr="00A762AB" w:rsidRDefault="00894004" w:rsidP="00894004">
      <w:pPr>
        <w:rPr>
          <w:lang w:eastAsia="en-CA"/>
        </w:rPr>
      </w:pPr>
    </w:p>
    <w:p w:rsidR="00894004" w:rsidRDefault="00894004" w:rsidP="00894004">
      <w:pPr>
        <w:pStyle w:val="BodyText"/>
        <w:keepNext/>
        <w:spacing w:after="0"/>
      </w:pPr>
      <w:r>
        <w:rPr>
          <w:noProof/>
          <w:lang w:val="en-US"/>
        </w:rPr>
        <w:drawing>
          <wp:inline distT="0" distB="0" distL="0" distR="0">
            <wp:extent cx="4755963" cy="3600000"/>
            <wp:effectExtent l="19050" t="19050" r="25587" b="19500"/>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8" cstate="print"/>
                    <a:srcRect/>
                    <a:stretch>
                      <a:fillRect/>
                    </a:stretch>
                  </pic:blipFill>
                  <pic:spPr bwMode="auto">
                    <a:xfrm>
                      <a:off x="0" y="0"/>
                      <a:ext cx="4755963"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01" w:name="_Ref326272610"/>
      <w:bookmarkStart w:id="402" w:name="_Toc326233045"/>
      <w:bookmarkStart w:id="403" w:name="_Toc338703917"/>
      <w:proofErr w:type="gramStart"/>
      <w:r>
        <w:t xml:space="preserve">Figure </w:t>
      </w:r>
      <w:fldSimple w:instr=" SEQ Figure \* ARABIC ">
        <w:r w:rsidR="00A02D22">
          <w:rPr>
            <w:noProof/>
          </w:rPr>
          <w:t>138</w:t>
        </w:r>
      </w:fldSimple>
      <w:bookmarkEnd w:id="401"/>
      <w:r>
        <w:t>.</w:t>
      </w:r>
      <w:proofErr w:type="gramEnd"/>
      <w:r>
        <w:t xml:space="preserve"> Cumulative bitumen revenues in CLFN SA.</w:t>
      </w:r>
      <w:bookmarkEnd w:id="403"/>
      <w:r>
        <w:t xml:space="preserve"> </w:t>
      </w:r>
      <w:bookmarkEnd w:id="402"/>
    </w:p>
    <w:p w:rsidR="00894004" w:rsidRDefault="00894004" w:rsidP="00894004">
      <w:pPr>
        <w:rPr>
          <w:lang w:eastAsia="en-CA"/>
        </w:rPr>
      </w:pPr>
    </w:p>
    <w:p w:rsidR="00894004" w:rsidRDefault="00894004" w:rsidP="00894004">
      <w:pPr>
        <w:keepNext/>
      </w:pPr>
      <w:r>
        <w:rPr>
          <w:noProof/>
          <w:lang w:val="en-US"/>
        </w:rPr>
        <w:lastRenderedPageBreak/>
        <w:drawing>
          <wp:inline distT="0" distB="0" distL="0" distR="0">
            <wp:extent cx="4811137" cy="3600000"/>
            <wp:effectExtent l="19050" t="19050" r="27563" b="19500"/>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9" cstate="print"/>
                    <a:srcRect/>
                    <a:stretch>
                      <a:fillRect/>
                    </a:stretch>
                  </pic:blipFill>
                  <pic:spPr bwMode="auto">
                    <a:xfrm>
                      <a:off x="0" y="0"/>
                      <a:ext cx="4811137"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04" w:name="_Ref326268157"/>
      <w:bookmarkStart w:id="405" w:name="_Toc338703918"/>
      <w:proofErr w:type="gramStart"/>
      <w:r>
        <w:t xml:space="preserve">Figure </w:t>
      </w:r>
      <w:fldSimple w:instr=" SEQ Figure \* ARABIC ">
        <w:r w:rsidR="00A02D22">
          <w:rPr>
            <w:noProof/>
          </w:rPr>
          <w:t>139</w:t>
        </w:r>
      </w:fldSimple>
      <w:bookmarkEnd w:id="404"/>
      <w:r w:rsidR="00280E0C">
        <w:t>.</w:t>
      </w:r>
      <w:proofErr w:type="gramEnd"/>
      <w:r w:rsidR="00280E0C">
        <w:t xml:space="preserve"> </w:t>
      </w:r>
      <w:proofErr w:type="gramStart"/>
      <w:r w:rsidR="00280E0C">
        <w:t>Changes in annual bitumen revenues in CLFN SA using a scenario exploring revenue sharing with CLFN.</w:t>
      </w:r>
      <w:bookmarkEnd w:id="405"/>
      <w:proofErr w:type="gramEnd"/>
      <w:r w:rsidR="00280E0C">
        <w:t xml:space="preserve"> </w:t>
      </w:r>
    </w:p>
    <w:p w:rsidR="00894004" w:rsidRDefault="00894004" w:rsidP="00894004">
      <w:pPr>
        <w:rPr>
          <w:lang w:eastAsia="en-CA"/>
        </w:rPr>
      </w:pPr>
    </w:p>
    <w:p w:rsidR="00894004" w:rsidRDefault="00894004" w:rsidP="00894004">
      <w:pPr>
        <w:keepNext/>
      </w:pPr>
      <w:r>
        <w:rPr>
          <w:noProof/>
          <w:lang w:val="en-US"/>
        </w:rPr>
        <w:drawing>
          <wp:inline distT="0" distB="0" distL="0" distR="0">
            <wp:extent cx="4755963" cy="3600000"/>
            <wp:effectExtent l="19050" t="19050" r="25587" b="19500"/>
            <wp:docPr id="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0" cstate="print"/>
                    <a:srcRect/>
                    <a:stretch>
                      <a:fillRect/>
                    </a:stretch>
                  </pic:blipFill>
                  <pic:spPr bwMode="auto">
                    <a:xfrm>
                      <a:off x="0" y="0"/>
                      <a:ext cx="4755963"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06" w:name="_Ref326268158"/>
      <w:bookmarkStart w:id="407" w:name="_Toc338703919"/>
      <w:proofErr w:type="gramStart"/>
      <w:r>
        <w:t xml:space="preserve">Figure </w:t>
      </w:r>
      <w:fldSimple w:instr=" SEQ Figure \* ARABIC ">
        <w:r w:rsidR="00A02D22">
          <w:rPr>
            <w:noProof/>
          </w:rPr>
          <w:t>140</w:t>
        </w:r>
      </w:fldSimple>
      <w:bookmarkEnd w:id="406"/>
      <w:r w:rsidR="00280E0C">
        <w:t>.</w:t>
      </w:r>
      <w:proofErr w:type="gramEnd"/>
      <w:r w:rsidR="00280E0C" w:rsidRPr="00280E0C">
        <w:t xml:space="preserve"> </w:t>
      </w:r>
      <w:proofErr w:type="gramStart"/>
      <w:r w:rsidR="00280E0C">
        <w:t>Changes in cumulative bitumen revenues in CLFN SA using a scenario exploring revenue sharing with CLFN.</w:t>
      </w:r>
      <w:bookmarkEnd w:id="407"/>
      <w:proofErr w:type="gramEnd"/>
      <w:r w:rsidR="00280E0C">
        <w:t xml:space="preserve"> </w:t>
      </w:r>
    </w:p>
    <w:p w:rsidR="007D2B81" w:rsidRDefault="007D2B81" w:rsidP="007D2B81">
      <w:pPr>
        <w:keepNext/>
      </w:pPr>
      <w:r>
        <w:rPr>
          <w:noProof/>
          <w:lang w:val="en-US"/>
        </w:rPr>
        <w:lastRenderedPageBreak/>
        <w:drawing>
          <wp:inline distT="0" distB="0" distL="0" distR="0">
            <wp:extent cx="4783405" cy="3600000"/>
            <wp:effectExtent l="19050" t="19050" r="17195" b="1950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print"/>
                    <a:srcRect/>
                    <a:stretch>
                      <a:fillRect/>
                    </a:stretch>
                  </pic:blipFill>
                  <pic:spPr bwMode="auto">
                    <a:xfrm>
                      <a:off x="0" y="0"/>
                      <a:ext cx="4783405"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7D2B81" w:rsidRDefault="007D2B81" w:rsidP="007D2B81">
      <w:pPr>
        <w:pStyle w:val="Caption"/>
      </w:pPr>
      <w:bookmarkStart w:id="408" w:name="_Ref326306135"/>
      <w:bookmarkStart w:id="409" w:name="_Toc338703920"/>
      <w:proofErr w:type="gramStart"/>
      <w:r>
        <w:t xml:space="preserve">Figure </w:t>
      </w:r>
      <w:fldSimple w:instr=" SEQ Figure \* ARABIC ">
        <w:r w:rsidR="00A02D22">
          <w:rPr>
            <w:noProof/>
          </w:rPr>
          <w:t>141</w:t>
        </w:r>
      </w:fldSimple>
      <w:bookmarkEnd w:id="408"/>
      <w:r>
        <w:t>.</w:t>
      </w:r>
      <w:proofErr w:type="gramEnd"/>
      <w:r>
        <w:t xml:space="preserve"> </w:t>
      </w:r>
      <w:proofErr w:type="gramStart"/>
      <w:r>
        <w:t>Changes in cumulative bitumen revenues in CLFN SA using a scenario exploring revenue sharing with CLFN.</w:t>
      </w:r>
      <w:proofErr w:type="gramEnd"/>
      <w:r>
        <w:t xml:space="preserve"> Revenues for both industry and CLFN are expressed at identical scale to emphasize relative differences in revenue.</w:t>
      </w:r>
      <w:bookmarkEnd w:id="409"/>
      <w:r>
        <w:t xml:space="preserve"> </w:t>
      </w:r>
    </w:p>
    <w:p w:rsidR="007D2B81" w:rsidRPr="007D2B81" w:rsidRDefault="007D2B81" w:rsidP="007D2B81">
      <w:pPr>
        <w:pStyle w:val="Caption"/>
      </w:pPr>
    </w:p>
    <w:p w:rsidR="00894004" w:rsidRDefault="00894004" w:rsidP="00894004">
      <w:pPr>
        <w:pStyle w:val="Heading3"/>
      </w:pPr>
      <w:bookmarkStart w:id="410" w:name="_Toc326233164"/>
      <w:bookmarkStart w:id="411" w:name="_Toc338703743"/>
      <w:r>
        <w:t>Employment</w:t>
      </w:r>
      <w:bookmarkEnd w:id="410"/>
      <w:bookmarkEnd w:id="411"/>
    </w:p>
    <w:p w:rsidR="00894004" w:rsidRDefault="00894004" w:rsidP="00894004">
      <w:pPr>
        <w:pStyle w:val="BodyText"/>
        <w:rPr>
          <w:lang w:val="en-US"/>
        </w:rPr>
      </w:pPr>
      <w:r>
        <w:rPr>
          <w:lang w:val="en-US"/>
        </w:rPr>
        <w:t>Based on a key assumption that historical and future employment coefficients are set at constant 2012 values (</w:t>
      </w:r>
      <w:r w:rsidR="0031708F">
        <w:rPr>
          <w:lang w:val="en-US"/>
        </w:rPr>
        <w:t xml:space="preserve">0.0008 </w:t>
      </w:r>
      <w:r>
        <w:rPr>
          <w:lang w:val="en-US"/>
        </w:rPr>
        <w:t>FTE/m</w:t>
      </w:r>
      <w:r w:rsidRPr="002461E1">
        <w:rPr>
          <w:vertAlign w:val="superscript"/>
          <w:lang w:val="en-US"/>
        </w:rPr>
        <w:t>3</w:t>
      </w:r>
      <w:r w:rsidR="0031708F">
        <w:rPr>
          <w:lang w:val="en-US"/>
        </w:rPr>
        <w:t xml:space="preserve"> of produced bitumen (CEMA SEWG)</w:t>
      </w:r>
      <w:r>
        <w:rPr>
          <w:lang w:val="en-US"/>
        </w:rPr>
        <w:t>, employment related to bitumen is currently ~20,000 jobs (</w:t>
      </w:r>
      <w:r w:rsidR="00575CA7">
        <w:rPr>
          <w:lang w:val="en-US"/>
        </w:rPr>
        <w:fldChar w:fldCharType="begin"/>
      </w:r>
      <w:r w:rsidR="00AA5B81">
        <w:rPr>
          <w:lang w:val="en-US"/>
        </w:rPr>
        <w:instrText xml:space="preserve"> REF _Ref326272658 \h </w:instrText>
      </w:r>
      <w:r w:rsidR="00575CA7">
        <w:rPr>
          <w:lang w:val="en-US"/>
        </w:rPr>
      </w:r>
      <w:r w:rsidR="00575CA7">
        <w:rPr>
          <w:lang w:val="en-US"/>
        </w:rPr>
        <w:fldChar w:fldCharType="separate"/>
      </w:r>
      <w:r w:rsidR="003648B8">
        <w:t xml:space="preserve">Figure </w:t>
      </w:r>
      <w:r w:rsidR="003648B8">
        <w:rPr>
          <w:noProof/>
        </w:rPr>
        <w:t>142</w:t>
      </w:r>
      <w:r w:rsidR="00575CA7">
        <w:rPr>
          <w:lang w:val="en-US"/>
        </w:rPr>
        <w:fldChar w:fldCharType="end"/>
      </w:r>
      <w:r>
        <w:rPr>
          <w:lang w:val="en-US"/>
        </w:rPr>
        <w:t xml:space="preserve">). Employment is expected to increase for 30-40 years where it will achieve maximum levels of ~32,000. Beyond Yr 40 (2050), </w:t>
      </w:r>
      <w:r w:rsidR="0031708F">
        <w:rPr>
          <w:lang w:val="en-US"/>
        </w:rPr>
        <w:t>bitumen-related employment levels are</w:t>
      </w:r>
      <w:r>
        <w:rPr>
          <w:lang w:val="en-US"/>
        </w:rPr>
        <w:t xml:space="preserve"> forecast to decline incrementally with each passing decade.</w:t>
      </w:r>
      <w:r w:rsidR="0031708F">
        <w:rPr>
          <w:lang w:val="en-US"/>
        </w:rPr>
        <w:t xml:space="preserve"> </w:t>
      </w:r>
      <w:r w:rsidR="00896108">
        <w:rPr>
          <w:lang w:val="en-US"/>
        </w:rPr>
        <w:t xml:space="preserve">The cumulative number of </w:t>
      </w:r>
      <w:r w:rsidR="007D2B81">
        <w:rPr>
          <w:lang w:val="en-US"/>
        </w:rPr>
        <w:t>full-</w:t>
      </w:r>
      <w:proofErr w:type="gramStart"/>
      <w:r w:rsidR="007D2B81">
        <w:rPr>
          <w:lang w:val="en-US"/>
        </w:rPr>
        <w:t>time  job</w:t>
      </w:r>
      <w:proofErr w:type="gramEnd"/>
      <w:r w:rsidR="007D2B81">
        <w:rPr>
          <w:lang w:val="en-US"/>
        </w:rPr>
        <w:t>-years</w:t>
      </w:r>
      <w:r w:rsidR="00896108">
        <w:rPr>
          <w:lang w:val="en-US"/>
        </w:rPr>
        <w:t xml:space="preserve"> historically associated with bitumen production on CLFN SA is 390,000 (</w:t>
      </w:r>
      <w:r w:rsidR="00575CA7">
        <w:rPr>
          <w:lang w:val="en-US"/>
        </w:rPr>
        <w:fldChar w:fldCharType="begin"/>
      </w:r>
      <w:r w:rsidR="00896108">
        <w:rPr>
          <w:lang w:val="en-US"/>
        </w:rPr>
        <w:instrText xml:space="preserve"> REF _Ref326269164 \h </w:instrText>
      </w:r>
      <w:r w:rsidR="00575CA7">
        <w:rPr>
          <w:lang w:val="en-US"/>
        </w:rPr>
      </w:r>
      <w:r w:rsidR="00575CA7">
        <w:rPr>
          <w:lang w:val="en-US"/>
        </w:rPr>
        <w:fldChar w:fldCharType="separate"/>
      </w:r>
      <w:r w:rsidR="003648B8">
        <w:t xml:space="preserve">Figure </w:t>
      </w:r>
      <w:r w:rsidR="003648B8">
        <w:rPr>
          <w:noProof/>
        </w:rPr>
        <w:t>143</w:t>
      </w:r>
      <w:r w:rsidR="00575CA7">
        <w:rPr>
          <w:lang w:val="en-US"/>
        </w:rPr>
        <w:fldChar w:fldCharType="end"/>
      </w:r>
      <w:r w:rsidR="00896108">
        <w:rPr>
          <w:lang w:val="en-US"/>
        </w:rPr>
        <w:t xml:space="preserve">). </w:t>
      </w:r>
      <w:r w:rsidR="0031708F">
        <w:rPr>
          <w:lang w:val="en-US"/>
        </w:rPr>
        <w:t>By the end of the simulation period</w:t>
      </w:r>
      <w:r w:rsidR="00896108">
        <w:rPr>
          <w:lang w:val="en-US"/>
        </w:rPr>
        <w:t xml:space="preserve"> (2212)</w:t>
      </w:r>
      <w:r w:rsidR="0031708F">
        <w:rPr>
          <w:lang w:val="en-US"/>
        </w:rPr>
        <w:t>, the cumulative employment relating to the production of 5 B m</w:t>
      </w:r>
      <w:r w:rsidR="0031708F" w:rsidRPr="0031708F">
        <w:rPr>
          <w:vertAlign w:val="superscript"/>
          <w:lang w:val="en-US"/>
        </w:rPr>
        <w:t>3</w:t>
      </w:r>
      <w:r w:rsidR="0031708F">
        <w:rPr>
          <w:lang w:val="en-US"/>
        </w:rPr>
        <w:t xml:space="preserve"> of bitumen and heavy oil is </w:t>
      </w:r>
      <w:r w:rsidR="00896108">
        <w:rPr>
          <w:lang w:val="en-US"/>
        </w:rPr>
        <w:t>4,500,000</w:t>
      </w:r>
      <w:r w:rsidR="0031708F">
        <w:rPr>
          <w:lang w:val="en-US"/>
        </w:rPr>
        <w:t xml:space="preserve"> full-time job-years (</w:t>
      </w:r>
      <w:r w:rsidR="00575CA7">
        <w:rPr>
          <w:lang w:val="en-US"/>
        </w:rPr>
        <w:fldChar w:fldCharType="begin"/>
      </w:r>
      <w:r w:rsidR="00896108">
        <w:rPr>
          <w:lang w:val="en-US"/>
        </w:rPr>
        <w:instrText xml:space="preserve"> REF _Ref326269164 \h </w:instrText>
      </w:r>
      <w:r w:rsidR="00575CA7">
        <w:rPr>
          <w:lang w:val="en-US"/>
        </w:rPr>
      </w:r>
      <w:r w:rsidR="00575CA7">
        <w:rPr>
          <w:lang w:val="en-US"/>
        </w:rPr>
        <w:fldChar w:fldCharType="separate"/>
      </w:r>
      <w:r w:rsidR="003648B8">
        <w:t xml:space="preserve">Figure </w:t>
      </w:r>
      <w:r w:rsidR="003648B8">
        <w:rPr>
          <w:noProof/>
        </w:rPr>
        <w:t>143</w:t>
      </w:r>
      <w:r w:rsidR="00575CA7">
        <w:rPr>
          <w:lang w:val="en-US"/>
        </w:rPr>
        <w:fldChar w:fldCharType="end"/>
      </w:r>
      <w:r w:rsidR="0031708F">
        <w:rPr>
          <w:lang w:val="en-US"/>
        </w:rPr>
        <w:t>).</w:t>
      </w:r>
      <w:r w:rsidR="00896108">
        <w:rPr>
          <w:lang w:val="en-US"/>
        </w:rPr>
        <w:t xml:space="preserve"> </w:t>
      </w:r>
      <w:r w:rsidRPr="0031708F">
        <w:rPr>
          <w:lang w:val="en-US"/>
        </w:rPr>
        <w:t>The simulation makes the simplifying assumption that the ratio of full time employment (FTE) to 1 m</w:t>
      </w:r>
      <w:r w:rsidRPr="0031708F">
        <w:rPr>
          <w:vertAlign w:val="superscript"/>
          <w:lang w:val="en-US"/>
        </w:rPr>
        <w:t>3</w:t>
      </w:r>
      <w:r w:rsidRPr="0031708F">
        <w:rPr>
          <w:lang w:val="en-US"/>
        </w:rPr>
        <w:t xml:space="preserve"> of bitumen production is a constant through time.</w:t>
      </w:r>
    </w:p>
    <w:p w:rsidR="007D2B81" w:rsidRPr="006C6CDC" w:rsidRDefault="007D2B81" w:rsidP="00894004">
      <w:pPr>
        <w:pStyle w:val="BodyText"/>
        <w:rPr>
          <w:lang w:val="en-US"/>
        </w:rPr>
      </w:pPr>
      <w:r>
        <w:rPr>
          <w:lang w:val="en-US"/>
        </w:rPr>
        <w:t>It is clear that the hydrocarbon sector in the CLFN SA is a key driver of both revenues and employment. This stature is unlikely to change in upcoming decades.</w:t>
      </w:r>
    </w:p>
    <w:p w:rsidR="0031708F" w:rsidRDefault="0031708F">
      <w:pPr>
        <w:spacing w:after="200" w:line="276" w:lineRule="auto"/>
      </w:pPr>
      <w:r>
        <w:br w:type="page"/>
      </w:r>
    </w:p>
    <w:p w:rsidR="00894004" w:rsidRDefault="00894004" w:rsidP="00894004">
      <w:pPr>
        <w:pStyle w:val="BodyText"/>
        <w:keepNext/>
        <w:spacing w:after="0"/>
      </w:pPr>
      <w:r>
        <w:rPr>
          <w:noProof/>
          <w:lang w:val="en-US"/>
        </w:rPr>
        <w:lastRenderedPageBreak/>
        <w:drawing>
          <wp:inline distT="0" distB="0" distL="0" distR="0">
            <wp:extent cx="4742614" cy="3600000"/>
            <wp:effectExtent l="19050" t="19050" r="19886" b="19500"/>
            <wp:docPr id="4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2" cstate="print"/>
                    <a:srcRect/>
                    <a:stretch>
                      <a:fillRect/>
                    </a:stretch>
                  </pic:blipFill>
                  <pic:spPr bwMode="auto">
                    <a:xfrm>
                      <a:off x="0" y="0"/>
                      <a:ext cx="4742614"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12" w:name="_Ref326272658"/>
      <w:bookmarkStart w:id="413" w:name="_Toc326233046"/>
      <w:bookmarkStart w:id="414" w:name="_Toc338703921"/>
      <w:proofErr w:type="gramStart"/>
      <w:r>
        <w:t xml:space="preserve">Figure </w:t>
      </w:r>
      <w:fldSimple w:instr=" SEQ Figure \* ARABIC ">
        <w:r w:rsidR="00A02D22">
          <w:rPr>
            <w:noProof/>
          </w:rPr>
          <w:t>142</w:t>
        </w:r>
      </w:fldSimple>
      <w:bookmarkEnd w:id="412"/>
      <w:r>
        <w:t>.</w:t>
      </w:r>
      <w:proofErr w:type="gramEnd"/>
      <w:r>
        <w:t xml:space="preserve"> </w:t>
      </w:r>
      <w:proofErr w:type="gramStart"/>
      <w:r>
        <w:t>Changes in bitumen-related employment in CLFN SA.</w:t>
      </w:r>
      <w:bookmarkEnd w:id="414"/>
      <w:proofErr w:type="gramEnd"/>
      <w:r>
        <w:t xml:space="preserve"> </w:t>
      </w:r>
      <w:bookmarkEnd w:id="413"/>
    </w:p>
    <w:p w:rsidR="006642F7" w:rsidRPr="006642F7" w:rsidRDefault="006642F7" w:rsidP="006642F7">
      <w:pPr>
        <w:rPr>
          <w:lang w:eastAsia="en-CA"/>
        </w:rPr>
      </w:pPr>
    </w:p>
    <w:p w:rsidR="00896108" w:rsidRDefault="00896108" w:rsidP="00896108">
      <w:pPr>
        <w:pStyle w:val="BodyText"/>
        <w:keepNext/>
        <w:spacing w:after="0"/>
      </w:pPr>
      <w:r>
        <w:rPr>
          <w:noProof/>
          <w:lang w:val="en-US"/>
        </w:rPr>
        <w:drawing>
          <wp:inline distT="0" distB="0" distL="0" distR="0">
            <wp:extent cx="4765001" cy="3600000"/>
            <wp:effectExtent l="19050" t="19050" r="16549" b="19500"/>
            <wp:docPr id="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srcRect/>
                    <a:stretch>
                      <a:fillRect/>
                    </a:stretch>
                  </pic:blipFill>
                  <pic:spPr bwMode="auto">
                    <a:xfrm>
                      <a:off x="0" y="0"/>
                      <a:ext cx="4765001"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6108" w:rsidRDefault="00896108" w:rsidP="00896108">
      <w:pPr>
        <w:pStyle w:val="Caption"/>
        <w:rPr>
          <w:lang w:val="en-US"/>
        </w:rPr>
      </w:pPr>
      <w:bookmarkStart w:id="415" w:name="_Ref326269164"/>
      <w:bookmarkStart w:id="416" w:name="_Toc338703922"/>
      <w:proofErr w:type="gramStart"/>
      <w:r>
        <w:t xml:space="preserve">Figure </w:t>
      </w:r>
      <w:fldSimple w:instr=" SEQ Figure \* ARABIC ">
        <w:r w:rsidR="00A02D22">
          <w:rPr>
            <w:noProof/>
          </w:rPr>
          <w:t>143</w:t>
        </w:r>
      </w:fldSimple>
      <w:bookmarkEnd w:id="415"/>
      <w:r>
        <w:t>.</w:t>
      </w:r>
      <w:proofErr w:type="gramEnd"/>
      <w:r>
        <w:t xml:space="preserve"> </w:t>
      </w:r>
      <w:proofErr w:type="gramStart"/>
      <w:r>
        <w:t>Cumulative number of job-years relating to bitumen production in CLFN SA.</w:t>
      </w:r>
      <w:bookmarkEnd w:id="416"/>
      <w:proofErr w:type="gramEnd"/>
      <w:r>
        <w:t xml:space="preserve"> </w:t>
      </w:r>
    </w:p>
    <w:p w:rsidR="00894004" w:rsidRDefault="00894004" w:rsidP="00896108">
      <w:pPr>
        <w:pStyle w:val="Caption"/>
        <w:rPr>
          <w:lang w:val="en-US"/>
        </w:rPr>
      </w:pPr>
    </w:p>
    <w:p w:rsidR="00894004" w:rsidRDefault="00894004" w:rsidP="00894004">
      <w:pPr>
        <w:pStyle w:val="Heading2"/>
      </w:pPr>
      <w:bookmarkStart w:id="417" w:name="_Toc326233165"/>
      <w:bookmarkStart w:id="418" w:name="_Toc338703744"/>
      <w:r>
        <w:lastRenderedPageBreak/>
        <w:t>Landscape Metrics and Ecological Indicators</w:t>
      </w:r>
      <w:bookmarkEnd w:id="417"/>
      <w:bookmarkEnd w:id="418"/>
    </w:p>
    <w:p w:rsidR="00894004" w:rsidRDefault="00894004" w:rsidP="00894004">
      <w:pPr>
        <w:pStyle w:val="Heading3"/>
      </w:pPr>
      <w:bookmarkStart w:id="419" w:name="_Toc326233166"/>
      <w:bookmarkStart w:id="420" w:name="_Toc338703745"/>
      <w:r>
        <w:t>Landscape Composition</w:t>
      </w:r>
      <w:bookmarkEnd w:id="419"/>
      <w:bookmarkEnd w:id="420"/>
    </w:p>
    <w:p w:rsidR="00894004" w:rsidRDefault="00894004" w:rsidP="00894004">
      <w:pPr>
        <w:pStyle w:val="BodyText"/>
        <w:rPr>
          <w:lang w:val="en-US"/>
        </w:rPr>
      </w:pPr>
      <w:r>
        <w:rPr>
          <w:lang w:val="en-US"/>
        </w:rPr>
        <w:t xml:space="preserve">The </w:t>
      </w:r>
      <w:r w:rsidR="005E5D96">
        <w:rPr>
          <w:lang w:val="en-US"/>
        </w:rPr>
        <w:t xml:space="preserve">natural capital of Canada’s boreal forest is immense (Anielski and Wilson, 2009) and the dynamic </w:t>
      </w:r>
      <w:r>
        <w:rPr>
          <w:lang w:val="en-US"/>
        </w:rPr>
        <w:t xml:space="preserve">composition and fragmentation of </w:t>
      </w:r>
      <w:r w:rsidR="005E5D96">
        <w:rPr>
          <w:lang w:val="en-US"/>
        </w:rPr>
        <w:t>these</w:t>
      </w:r>
      <w:r>
        <w:rPr>
          <w:lang w:val="en-US"/>
        </w:rPr>
        <w:t xml:space="preserve"> landscapes is a key factor explaining the diversity and abundance of bio</w:t>
      </w:r>
      <w:r w:rsidR="00896108">
        <w:rPr>
          <w:lang w:val="en-US"/>
        </w:rPr>
        <w:t>diversity (Stelfox et al. 1995)</w:t>
      </w:r>
      <w:r>
        <w:rPr>
          <w:lang w:val="en-US"/>
        </w:rPr>
        <w:t xml:space="preserve">. The effects of </w:t>
      </w:r>
      <w:r w:rsidR="00C544DE">
        <w:rPr>
          <w:lang w:val="en-US"/>
        </w:rPr>
        <w:t>land-use</w:t>
      </w:r>
      <w:r>
        <w:rPr>
          <w:lang w:val="en-US"/>
        </w:rPr>
        <w:t xml:space="preserve"> can be direct (for example, conversion of forest to crops), or indirect, such as the reduced use (or increased mortality</w:t>
      </w:r>
      <w:r w:rsidR="005E5D96">
        <w:rPr>
          <w:lang w:val="en-US"/>
        </w:rPr>
        <w:t xml:space="preserve"> of wildlife</w:t>
      </w:r>
      <w:r>
        <w:rPr>
          <w:lang w:val="en-US"/>
        </w:rPr>
        <w:t xml:space="preserve">) of wildlife </w:t>
      </w:r>
      <w:r w:rsidR="005D3CA3">
        <w:rPr>
          <w:lang w:val="en-US"/>
        </w:rPr>
        <w:t xml:space="preserve">habitat </w:t>
      </w:r>
      <w:r>
        <w:rPr>
          <w:lang w:val="en-US"/>
        </w:rPr>
        <w:t>adjacent to linear features such as roads or pipelines.</w:t>
      </w:r>
    </w:p>
    <w:p w:rsidR="00894004" w:rsidRPr="003E5D1E" w:rsidRDefault="00894004" w:rsidP="00894004">
      <w:pPr>
        <w:pStyle w:val="BodyText"/>
      </w:pPr>
      <w:r w:rsidRPr="003E5D1E">
        <w:t xml:space="preserve">Human-caused linear features are a defining landscape driver for many biodiversity indicators.  This is largely due to the increased direct and indirect disturbance caused by humans, </w:t>
      </w:r>
      <w:r w:rsidR="00F664D6">
        <w:t xml:space="preserve">plants, and animals </w:t>
      </w:r>
      <w:r w:rsidRPr="003E5D1E">
        <w:t>that move, or expand along, the linear network</w:t>
      </w:r>
      <w:r w:rsidR="005E5D96">
        <w:t xml:space="preserve"> (</w:t>
      </w:r>
      <w:r w:rsidR="00575CA7">
        <w:fldChar w:fldCharType="begin"/>
      </w:r>
      <w:r w:rsidR="005E5D96">
        <w:instrText xml:space="preserve"> REF _Ref326251314 \h </w:instrText>
      </w:r>
      <w:r w:rsidR="00575CA7">
        <w:fldChar w:fldCharType="separate"/>
      </w:r>
      <w:r w:rsidR="003648B8">
        <w:t xml:space="preserve">Figure </w:t>
      </w:r>
      <w:r w:rsidR="003648B8">
        <w:rPr>
          <w:noProof/>
        </w:rPr>
        <w:t>105</w:t>
      </w:r>
      <w:r w:rsidR="00575CA7">
        <w:fldChar w:fldCharType="end"/>
      </w:r>
      <w:r w:rsidR="005E5D96">
        <w:t>)</w:t>
      </w:r>
      <w:r w:rsidRPr="003E5D1E">
        <w:t>.  In some cases linear features can improve habitat for species such as moose, by providing access to younger plant communities and increased forage.  This positive effect can be over-ridden by increased mortality from motorists, hunters, fishers, trappers</w:t>
      </w:r>
      <w:r w:rsidR="005E5D96">
        <w:t>, and animal predators. Vehicle</w:t>
      </w:r>
      <w:r w:rsidRPr="003E5D1E">
        <w:rPr>
          <w:color w:val="000000"/>
          <w:lang w:val="en-US"/>
        </w:rPr>
        <w:t>-</w:t>
      </w:r>
      <w:r w:rsidRPr="003E5D1E">
        <w:t xml:space="preserve">wildlife collisions, intentional and unintentional disturbance or harassment, harvest, avoidance of habitat along linear features, and changes in predator-prey dynamics all contribute to </w:t>
      </w:r>
      <w:r w:rsidR="005E5D96">
        <w:t xml:space="preserve">the </w:t>
      </w:r>
      <w:r w:rsidRPr="003E5D1E">
        <w:t>cumulative effects</w:t>
      </w:r>
      <w:r w:rsidR="00F664D6">
        <w:t xml:space="preserve"> of linear features on</w:t>
      </w:r>
      <w:r w:rsidR="005E5D96">
        <w:t xml:space="preserve"> wildlife in the CLFN SA</w:t>
      </w:r>
      <w:r w:rsidRPr="003E5D1E">
        <w:t xml:space="preserve">. </w:t>
      </w:r>
    </w:p>
    <w:p w:rsidR="00894004" w:rsidRPr="003E5D1E" w:rsidRDefault="00894004" w:rsidP="00894004">
      <w:pPr>
        <w:pStyle w:val="BodyText"/>
        <w:rPr>
          <w:lang w:eastAsia="en-CA"/>
        </w:rPr>
      </w:pPr>
      <w:r w:rsidRPr="003E5D1E">
        <w:rPr>
          <w:lang w:eastAsia="en-CA"/>
        </w:rPr>
        <w:t xml:space="preserve">Roads, other linear corridors, and polygonal features are widespread features of most landscapes and are associated with negative effects on both terrestrial and aquatic ecosystem function (Trombulak and Frissell 2000). Access corridor density is considered to be the most useful landscape indicator because it integrates so many ecological impacts of roads, human use, and vehicles (Forman and Hersperger 1996, Trombulak and Frissell 2000, Forman </w:t>
      </w:r>
      <w:r w:rsidRPr="003E5D1E">
        <w:rPr>
          <w:iCs/>
          <w:lang w:eastAsia="en-CA"/>
        </w:rPr>
        <w:t>et al.</w:t>
      </w:r>
      <w:r w:rsidRPr="003E5D1E">
        <w:rPr>
          <w:i/>
          <w:iCs/>
          <w:lang w:eastAsia="en-CA"/>
        </w:rPr>
        <w:t xml:space="preserve"> </w:t>
      </w:r>
      <w:r w:rsidRPr="003E5D1E">
        <w:rPr>
          <w:lang w:eastAsia="en-CA"/>
        </w:rPr>
        <w:t xml:space="preserve">2003). </w:t>
      </w:r>
      <w:r w:rsidR="005E5D96">
        <w:rPr>
          <w:lang w:eastAsia="en-CA"/>
        </w:rPr>
        <w:t>Based on these arguments, we present linear edge density (km/km</w:t>
      </w:r>
      <w:r w:rsidR="005E5D96" w:rsidRPr="005E5D96">
        <w:rPr>
          <w:vertAlign w:val="superscript"/>
          <w:lang w:eastAsia="en-CA"/>
        </w:rPr>
        <w:t>2</w:t>
      </w:r>
      <w:r w:rsidR="005E5D96">
        <w:rPr>
          <w:lang w:eastAsia="en-CA"/>
        </w:rPr>
        <w:t>) as a reasonable metric to discuss landscape fragmentation and issues relating to access.</w:t>
      </w:r>
    </w:p>
    <w:p w:rsidR="00894004" w:rsidRDefault="005E5D96" w:rsidP="00894004">
      <w:pPr>
        <w:pStyle w:val="BodyText"/>
        <w:rPr>
          <w:lang w:eastAsia="en-CA"/>
        </w:rPr>
      </w:pPr>
      <w:r>
        <w:rPr>
          <w:lang w:eastAsia="en-CA"/>
        </w:rPr>
        <w:t xml:space="preserve">Relationships between </w:t>
      </w:r>
      <w:r w:rsidR="00894004">
        <w:rPr>
          <w:lang w:eastAsia="en-CA"/>
        </w:rPr>
        <w:t xml:space="preserve">land-use feature density and species occurrence, habitat effectiveness, or population persistence have been developed for grizzly bear, birds, and boreal mammals </w:t>
      </w:r>
      <w:r w:rsidR="00894004" w:rsidRPr="009B27D5">
        <w:rPr>
          <w:lang w:eastAsia="en-CA"/>
        </w:rPr>
        <w:t xml:space="preserve">(Thomas </w:t>
      </w:r>
      <w:r w:rsidR="00894004" w:rsidRPr="004A65C2">
        <w:rPr>
          <w:iCs/>
          <w:lang w:eastAsia="en-CA"/>
        </w:rPr>
        <w:t>et al.</w:t>
      </w:r>
      <w:r w:rsidR="00894004" w:rsidRPr="009B27D5">
        <w:rPr>
          <w:i/>
          <w:iCs/>
          <w:lang w:eastAsia="en-CA"/>
        </w:rPr>
        <w:t xml:space="preserve"> </w:t>
      </w:r>
      <w:r w:rsidR="00894004" w:rsidRPr="009B27D5">
        <w:rPr>
          <w:lang w:eastAsia="en-CA"/>
        </w:rPr>
        <w:t>1979 and 1988, Lyon 1983 and 1984, McLellan and Shackleton 1988,</w:t>
      </w:r>
      <w:r w:rsidR="00894004">
        <w:rPr>
          <w:lang w:eastAsia="en-CA"/>
        </w:rPr>
        <w:t xml:space="preserve"> </w:t>
      </w:r>
      <w:r w:rsidR="00894004" w:rsidRPr="009B27D5">
        <w:rPr>
          <w:lang w:eastAsia="en-CA"/>
        </w:rPr>
        <w:t xml:space="preserve">Mace and Manley 1993, Reijnen and Foppen 1994, Jalkotzy </w:t>
      </w:r>
      <w:r w:rsidR="00894004" w:rsidRPr="004A65C2">
        <w:rPr>
          <w:iCs/>
          <w:lang w:eastAsia="en-CA"/>
        </w:rPr>
        <w:t>et al.</w:t>
      </w:r>
      <w:r w:rsidR="00894004" w:rsidRPr="009B27D5">
        <w:rPr>
          <w:i/>
          <w:iCs/>
          <w:lang w:eastAsia="en-CA"/>
        </w:rPr>
        <w:t xml:space="preserve"> </w:t>
      </w:r>
      <w:r w:rsidR="00894004" w:rsidRPr="009B27D5">
        <w:rPr>
          <w:lang w:eastAsia="en-CA"/>
        </w:rPr>
        <w:t xml:space="preserve">1997, Anderson </w:t>
      </w:r>
      <w:r w:rsidR="00894004" w:rsidRPr="004A65C2">
        <w:rPr>
          <w:iCs/>
          <w:lang w:eastAsia="en-CA"/>
        </w:rPr>
        <w:t>et al.</w:t>
      </w:r>
      <w:r w:rsidR="00894004">
        <w:rPr>
          <w:i/>
          <w:iCs/>
          <w:lang w:eastAsia="en-CA"/>
        </w:rPr>
        <w:t xml:space="preserve"> </w:t>
      </w:r>
      <w:r w:rsidR="00894004" w:rsidRPr="009B27D5">
        <w:rPr>
          <w:lang w:eastAsia="en-CA"/>
        </w:rPr>
        <w:t xml:space="preserve">2002, Bayne </w:t>
      </w:r>
      <w:r w:rsidR="00894004" w:rsidRPr="004A65C2">
        <w:rPr>
          <w:iCs/>
          <w:lang w:eastAsia="en-CA"/>
        </w:rPr>
        <w:t>et al.</w:t>
      </w:r>
      <w:r w:rsidR="00894004" w:rsidRPr="009B27D5">
        <w:rPr>
          <w:i/>
          <w:iCs/>
          <w:lang w:eastAsia="en-CA"/>
        </w:rPr>
        <w:t xml:space="preserve"> </w:t>
      </w:r>
      <w:r w:rsidR="00894004" w:rsidRPr="009B27D5">
        <w:rPr>
          <w:lang w:eastAsia="en-CA"/>
        </w:rPr>
        <w:t>2005a, b; Nielsen et al. 2007). In</w:t>
      </w:r>
      <w:r w:rsidR="00894004">
        <w:rPr>
          <w:lang w:eastAsia="en-CA"/>
        </w:rPr>
        <w:t xml:space="preserve"> addition, increased road density also causes increased water yield and sediment transport to streams, increased number of movement barriers, and has also been correlated with declines in salmonid species, including bull trout (Jones and Grant 1996, USDA Forest Service 1996, Warren and Pardew 1998, Trombulak and Frissell 2000).</w:t>
      </w:r>
    </w:p>
    <w:p w:rsidR="00894004" w:rsidRDefault="00894004" w:rsidP="00894004">
      <w:pPr>
        <w:pStyle w:val="BodyText"/>
        <w:rPr>
          <w:lang w:val="en-US"/>
        </w:rPr>
      </w:pPr>
      <w:r>
        <w:rPr>
          <w:lang w:val="en-US"/>
        </w:rPr>
        <w:t>The CLFN SA has experienced a significant transformation during the past 100 years (</w:t>
      </w:r>
      <w:r w:rsidR="00575CA7">
        <w:rPr>
          <w:lang w:val="en-US"/>
        </w:rPr>
        <w:fldChar w:fldCharType="begin"/>
      </w:r>
      <w:r w:rsidR="00802361">
        <w:rPr>
          <w:lang w:val="en-US"/>
        </w:rPr>
        <w:instrText xml:space="preserve"> REF _Ref326269847 \h </w:instrText>
      </w:r>
      <w:r w:rsidR="00575CA7">
        <w:rPr>
          <w:lang w:val="en-US"/>
        </w:rPr>
      </w:r>
      <w:r w:rsidR="00575CA7">
        <w:rPr>
          <w:lang w:val="en-US"/>
        </w:rPr>
        <w:fldChar w:fldCharType="separate"/>
      </w:r>
      <w:r w:rsidR="003648B8">
        <w:t xml:space="preserve">Figure </w:t>
      </w:r>
      <w:r w:rsidR="003648B8">
        <w:rPr>
          <w:noProof/>
        </w:rPr>
        <w:t>144</w:t>
      </w:r>
      <w:r w:rsidR="00575CA7">
        <w:rPr>
          <w:lang w:val="en-US"/>
        </w:rPr>
        <w:fldChar w:fldCharType="end"/>
      </w:r>
      <w:r w:rsidR="00802361">
        <w:rPr>
          <w:lang w:val="en-US"/>
        </w:rPr>
        <w:t xml:space="preserve">, </w:t>
      </w:r>
      <w:r w:rsidR="00575CA7">
        <w:rPr>
          <w:lang w:val="en-US"/>
        </w:rPr>
        <w:fldChar w:fldCharType="begin"/>
      </w:r>
      <w:r w:rsidR="00802361">
        <w:rPr>
          <w:lang w:val="en-US"/>
        </w:rPr>
        <w:instrText xml:space="preserve"> REF _Ref326269849 \h </w:instrText>
      </w:r>
      <w:r w:rsidR="00575CA7">
        <w:rPr>
          <w:lang w:val="en-US"/>
        </w:rPr>
      </w:r>
      <w:r w:rsidR="00575CA7">
        <w:rPr>
          <w:lang w:val="en-US"/>
        </w:rPr>
        <w:fldChar w:fldCharType="separate"/>
      </w:r>
      <w:r w:rsidR="003648B8">
        <w:t xml:space="preserve">Figure </w:t>
      </w:r>
      <w:r w:rsidR="003648B8">
        <w:rPr>
          <w:noProof/>
        </w:rPr>
        <w:t>145</w:t>
      </w:r>
      <w:r w:rsidR="00575CA7">
        <w:rPr>
          <w:lang w:val="en-US"/>
        </w:rPr>
        <w:fldChar w:fldCharType="end"/>
      </w:r>
      <w:r>
        <w:rPr>
          <w:lang w:val="en-US"/>
        </w:rPr>
        <w:t xml:space="preserve">). Greatest increase in anthropogenic features include agriculture (~113,000 ha), the energy sector (~21,000 ha), settlements (~10,000 ha), transportation (~8,000 ha), and parks (6,463 ha). In terms of loss of landbase on which traditional activities </w:t>
      </w:r>
      <w:r w:rsidR="00802361">
        <w:rPr>
          <w:lang w:val="en-US"/>
        </w:rPr>
        <w:t xml:space="preserve">of CLFN </w:t>
      </w:r>
      <w:r>
        <w:rPr>
          <w:lang w:val="en-US"/>
        </w:rPr>
        <w:t xml:space="preserve">can occur, the </w:t>
      </w:r>
      <w:r w:rsidR="00F764E9">
        <w:rPr>
          <w:lang w:val="en-US"/>
        </w:rPr>
        <w:t xml:space="preserve">establishment of the </w:t>
      </w:r>
      <w:r>
        <w:rPr>
          <w:lang w:val="en-US"/>
        </w:rPr>
        <w:t>470,000 ha CLAWR in 1952, was the most significant event.</w:t>
      </w:r>
    </w:p>
    <w:p w:rsidR="005558A7" w:rsidRDefault="00DB5ED3" w:rsidP="005558A7">
      <w:pPr>
        <w:pStyle w:val="BodyText"/>
        <w:rPr>
          <w:lang w:val="en-US"/>
        </w:rPr>
      </w:pPr>
      <w:r>
        <w:rPr>
          <w:lang w:val="en-US"/>
        </w:rPr>
        <w:t xml:space="preserve">By the conclusion of the simulation period (2212) a total of ~600,000 ha will have been directly altered by the </w:t>
      </w:r>
      <w:r w:rsidR="00C544DE">
        <w:rPr>
          <w:lang w:val="en-US"/>
        </w:rPr>
        <w:t>land-use</w:t>
      </w:r>
      <w:r>
        <w:rPr>
          <w:lang w:val="en-US"/>
        </w:rPr>
        <w:t>s of agriculture, transportation, residential and the energy sector (</w:t>
      </w:r>
      <w:r w:rsidR="00575CA7">
        <w:rPr>
          <w:lang w:val="en-US"/>
        </w:rPr>
        <w:fldChar w:fldCharType="begin"/>
      </w:r>
      <w:r>
        <w:rPr>
          <w:lang w:val="en-US"/>
        </w:rPr>
        <w:instrText xml:space="preserve"> REF _Ref326269612 \h </w:instrText>
      </w:r>
      <w:r w:rsidR="00575CA7">
        <w:rPr>
          <w:lang w:val="en-US"/>
        </w:rPr>
      </w:r>
      <w:r w:rsidR="00575CA7">
        <w:rPr>
          <w:lang w:val="en-US"/>
        </w:rPr>
        <w:fldChar w:fldCharType="separate"/>
      </w:r>
      <w:r w:rsidR="003648B8">
        <w:t xml:space="preserve">Figure </w:t>
      </w:r>
      <w:r w:rsidR="003648B8">
        <w:rPr>
          <w:noProof/>
        </w:rPr>
        <w:t>146</w:t>
      </w:r>
      <w:r w:rsidR="00575CA7">
        <w:rPr>
          <w:lang w:val="en-US"/>
        </w:rPr>
        <w:fldChar w:fldCharType="end"/>
      </w:r>
      <w:r>
        <w:rPr>
          <w:lang w:val="en-US"/>
        </w:rPr>
        <w:t xml:space="preserve">). Of this gross area, ~300,000 ha are projected to be reclaimed and these </w:t>
      </w:r>
      <w:r>
        <w:rPr>
          <w:lang w:val="en-US"/>
        </w:rPr>
        <w:lastRenderedPageBreak/>
        <w:t xml:space="preserve">reclaimed features </w:t>
      </w:r>
      <w:r w:rsidR="005E5D96">
        <w:rPr>
          <w:lang w:val="en-US"/>
        </w:rPr>
        <w:t>include</w:t>
      </w:r>
      <w:r>
        <w:rPr>
          <w:lang w:val="en-US"/>
        </w:rPr>
        <w:t xml:space="preserve"> unused wellpads, wellpad access roads, seismic lines, and pipelines. If the rapid reclamation rates of energy sector footprints do not occur and inactive footprints do not revert back to the original landscape type (see for example, </w:t>
      </w:r>
      <w:r w:rsidR="00575CA7">
        <w:rPr>
          <w:lang w:val="en-US"/>
        </w:rPr>
        <w:fldChar w:fldCharType="begin"/>
      </w:r>
      <w:r>
        <w:rPr>
          <w:lang w:val="en-US"/>
        </w:rPr>
        <w:instrText xml:space="preserve"> REF _Ref326270339 \h </w:instrText>
      </w:r>
      <w:r w:rsidR="00575CA7">
        <w:rPr>
          <w:lang w:val="en-US"/>
        </w:rPr>
      </w:r>
      <w:r w:rsidR="00575CA7">
        <w:rPr>
          <w:lang w:val="en-US"/>
        </w:rPr>
        <w:fldChar w:fldCharType="separate"/>
      </w:r>
      <w:r w:rsidR="003648B8">
        <w:t xml:space="preserve">Figure </w:t>
      </w:r>
      <w:r w:rsidR="003648B8">
        <w:rPr>
          <w:noProof/>
        </w:rPr>
        <w:t>147</w:t>
      </w:r>
      <w:r w:rsidR="00575CA7">
        <w:rPr>
          <w:lang w:val="en-US"/>
        </w:rPr>
        <w:fldChar w:fldCharType="end"/>
      </w:r>
      <w:r>
        <w:rPr>
          <w:lang w:val="en-US"/>
        </w:rPr>
        <w:t>), then the net footprint of 300,000 ha could be as large as the gross footprint of 600,000 ha.</w:t>
      </w:r>
    </w:p>
    <w:p w:rsidR="005558A7" w:rsidRDefault="005558A7" w:rsidP="005558A7">
      <w:pPr>
        <w:pStyle w:val="BodyText"/>
        <w:rPr>
          <w:lang w:val="en-US"/>
        </w:rPr>
      </w:pPr>
      <w:r>
        <w:rPr>
          <w:lang w:val="en-US"/>
        </w:rPr>
        <w:t>To illustrate the critical importance of reclamation rates of energy sector footprints to the overall level of future landscape fragmentation and anthropogenic area, an additional set of simulations were completed in ALCES and ALCES Mapper (</w:t>
      </w:r>
      <w:r w:rsidR="00575CA7">
        <w:rPr>
          <w:lang w:val="en-US"/>
        </w:rPr>
        <w:fldChar w:fldCharType="begin"/>
      </w:r>
      <w:r>
        <w:rPr>
          <w:lang w:val="en-US"/>
        </w:rPr>
        <w:instrText xml:space="preserve"> REF _Ref326270815 \h </w:instrText>
      </w:r>
      <w:r w:rsidR="00575CA7">
        <w:rPr>
          <w:lang w:val="en-US"/>
        </w:rPr>
      </w:r>
      <w:r w:rsidR="00575CA7">
        <w:rPr>
          <w:lang w:val="en-US"/>
        </w:rPr>
        <w:fldChar w:fldCharType="separate"/>
      </w:r>
      <w:r w:rsidR="003648B8">
        <w:t xml:space="preserve">Figure </w:t>
      </w:r>
      <w:r w:rsidR="003648B8">
        <w:rPr>
          <w:noProof/>
        </w:rPr>
        <w:t>155</w:t>
      </w:r>
      <w:r w:rsidR="00575CA7">
        <w:rPr>
          <w:lang w:val="en-US"/>
        </w:rPr>
        <w:fldChar w:fldCharType="end"/>
      </w:r>
      <w:r>
        <w:rPr>
          <w:lang w:val="en-US"/>
        </w:rPr>
        <w:t xml:space="preserve">, </w:t>
      </w:r>
      <w:r w:rsidR="00575CA7">
        <w:rPr>
          <w:lang w:val="en-US"/>
        </w:rPr>
        <w:fldChar w:fldCharType="begin"/>
      </w:r>
      <w:r>
        <w:rPr>
          <w:lang w:val="en-US"/>
        </w:rPr>
        <w:instrText xml:space="preserve"> REF _Ref326270816 \h </w:instrText>
      </w:r>
      <w:r w:rsidR="00575CA7">
        <w:rPr>
          <w:lang w:val="en-US"/>
        </w:rPr>
      </w:r>
      <w:r w:rsidR="00575CA7">
        <w:rPr>
          <w:lang w:val="en-US"/>
        </w:rPr>
        <w:fldChar w:fldCharType="separate"/>
      </w:r>
      <w:r w:rsidR="003648B8">
        <w:t xml:space="preserve">Figure </w:t>
      </w:r>
      <w:r w:rsidR="003648B8">
        <w:rPr>
          <w:noProof/>
        </w:rPr>
        <w:t>156</w:t>
      </w:r>
      <w:r w:rsidR="00575CA7">
        <w:rPr>
          <w:lang w:val="en-US"/>
        </w:rPr>
        <w:fldChar w:fldCharType="end"/>
      </w:r>
      <w:r>
        <w:rPr>
          <w:lang w:val="en-US"/>
        </w:rPr>
        <w:t xml:space="preserve">, </w:t>
      </w:r>
      <w:r w:rsidR="00575CA7">
        <w:rPr>
          <w:lang w:val="en-US"/>
        </w:rPr>
        <w:fldChar w:fldCharType="begin"/>
      </w:r>
      <w:r>
        <w:rPr>
          <w:lang w:val="en-US"/>
        </w:rPr>
        <w:instrText xml:space="preserve"> REF _Ref326270818 \h </w:instrText>
      </w:r>
      <w:r w:rsidR="00575CA7">
        <w:rPr>
          <w:lang w:val="en-US"/>
        </w:rPr>
      </w:r>
      <w:r w:rsidR="00575CA7">
        <w:rPr>
          <w:lang w:val="en-US"/>
        </w:rPr>
        <w:fldChar w:fldCharType="separate"/>
      </w:r>
      <w:r w:rsidR="003648B8">
        <w:t xml:space="preserve">Figure </w:t>
      </w:r>
      <w:r w:rsidR="003648B8">
        <w:rPr>
          <w:noProof/>
        </w:rPr>
        <w:t>157</w:t>
      </w:r>
      <w:r w:rsidR="00575CA7">
        <w:rPr>
          <w:lang w:val="en-US"/>
        </w:rPr>
        <w:fldChar w:fldCharType="end"/>
      </w:r>
      <w:r>
        <w:rPr>
          <w:lang w:val="en-US"/>
        </w:rPr>
        <w:t xml:space="preserve">, </w:t>
      </w:r>
      <w:r w:rsidR="00575CA7">
        <w:rPr>
          <w:lang w:val="en-US"/>
        </w:rPr>
        <w:fldChar w:fldCharType="begin"/>
      </w:r>
      <w:r>
        <w:rPr>
          <w:lang w:val="en-US"/>
        </w:rPr>
        <w:instrText xml:space="preserve"> REF _Ref326270820 \h </w:instrText>
      </w:r>
      <w:r w:rsidR="00575CA7">
        <w:rPr>
          <w:lang w:val="en-US"/>
        </w:rPr>
      </w:r>
      <w:r w:rsidR="00575CA7">
        <w:rPr>
          <w:lang w:val="en-US"/>
        </w:rPr>
        <w:fldChar w:fldCharType="separate"/>
      </w:r>
      <w:proofErr w:type="gramStart"/>
      <w:r w:rsidR="003648B8">
        <w:t>Figure</w:t>
      </w:r>
      <w:proofErr w:type="gramEnd"/>
      <w:r w:rsidR="003648B8">
        <w:t xml:space="preserve"> </w:t>
      </w:r>
      <w:r w:rsidR="003648B8">
        <w:rPr>
          <w:noProof/>
        </w:rPr>
        <w:t>158</w:t>
      </w:r>
      <w:r w:rsidR="00575CA7">
        <w:rPr>
          <w:lang w:val="en-US"/>
        </w:rPr>
        <w:fldChar w:fldCharType="end"/>
      </w:r>
      <w:r>
        <w:rPr>
          <w:lang w:val="en-US"/>
        </w:rPr>
        <w:t>).</w:t>
      </w:r>
    </w:p>
    <w:p w:rsidR="005558A7" w:rsidRDefault="005558A7" w:rsidP="005558A7">
      <w:pPr>
        <w:pStyle w:val="BodyText"/>
        <w:rPr>
          <w:lang w:val="en-US"/>
        </w:rPr>
      </w:pPr>
      <w:r>
        <w:rPr>
          <w:lang w:val="en-US"/>
        </w:rPr>
        <w:t>It should be noted that we selected an average area-weighted seismic line width of 2.0 meters for this study</w:t>
      </w:r>
      <w:r w:rsidR="00D756AF">
        <w:rPr>
          <w:lang w:val="en-US"/>
        </w:rPr>
        <w:t xml:space="preserve"> despite guidance from Birchwood Resources that average seismic width in the region is closer to 4 m</w:t>
      </w:r>
      <w:r>
        <w:rPr>
          <w:lang w:val="en-US"/>
        </w:rPr>
        <w:t xml:space="preserve">. Since seismic line lifespan is related to seismic line width (we have estimated that 2 m width seismic lines reclaim in 2 years), and seismic lines are the most prevalent linear feature on the landscape, it is very likely that </w:t>
      </w:r>
      <w:r w:rsidR="00D756AF">
        <w:rPr>
          <w:lang w:val="en-US"/>
        </w:rPr>
        <w:t>the net linear footprint in these</w:t>
      </w:r>
      <w:r>
        <w:rPr>
          <w:lang w:val="en-US"/>
        </w:rPr>
        <w:t xml:space="preserve"> analyses </w:t>
      </w:r>
      <w:r w:rsidR="00D756AF">
        <w:rPr>
          <w:lang w:val="en-US"/>
        </w:rPr>
        <w:t>is under-estimated based on</w:t>
      </w:r>
      <w:r>
        <w:rPr>
          <w:lang w:val="en-US"/>
        </w:rPr>
        <w:t xml:space="preserve"> highly optimistic rate</w:t>
      </w:r>
      <w:r w:rsidR="00D756AF">
        <w:rPr>
          <w:lang w:val="en-US"/>
        </w:rPr>
        <w:t>s</w:t>
      </w:r>
      <w:r>
        <w:rPr>
          <w:lang w:val="en-US"/>
        </w:rPr>
        <w:t xml:space="preserve"> of linear feature reclamation in the CLFN SA.</w:t>
      </w:r>
    </w:p>
    <w:p w:rsidR="00894004" w:rsidRDefault="00894004" w:rsidP="00894004">
      <w:pPr>
        <w:pStyle w:val="BodyText"/>
        <w:rPr>
          <w:lang w:val="en-US"/>
        </w:rPr>
      </w:pPr>
      <w:r>
        <w:rPr>
          <w:lang w:val="en-US"/>
        </w:rPr>
        <w:t xml:space="preserve">The spatial distribution of historical changes in anthropogenic area and edge are illustrated in </w:t>
      </w:r>
      <w:r w:rsidR="00575CA7">
        <w:rPr>
          <w:lang w:val="en-US"/>
        </w:rPr>
        <w:fldChar w:fldCharType="begin"/>
      </w:r>
      <w:r w:rsidR="00802361">
        <w:rPr>
          <w:lang w:val="en-US"/>
        </w:rPr>
        <w:instrText xml:space="preserve"> REF _Ref326269903 \h </w:instrText>
      </w:r>
      <w:r w:rsidR="00575CA7">
        <w:rPr>
          <w:lang w:val="en-US"/>
        </w:rPr>
      </w:r>
      <w:r w:rsidR="00575CA7">
        <w:rPr>
          <w:lang w:val="en-US"/>
        </w:rPr>
        <w:fldChar w:fldCharType="separate"/>
      </w:r>
      <w:r w:rsidR="003648B8">
        <w:t xml:space="preserve">Figure </w:t>
      </w:r>
      <w:r w:rsidR="003648B8">
        <w:rPr>
          <w:noProof/>
        </w:rPr>
        <w:t>151</w:t>
      </w:r>
      <w:r w:rsidR="00575CA7">
        <w:rPr>
          <w:lang w:val="en-US"/>
        </w:rPr>
        <w:fldChar w:fldCharType="end"/>
      </w:r>
      <w:r w:rsidR="00DB5ED3">
        <w:rPr>
          <w:lang w:val="en-US"/>
        </w:rPr>
        <w:t xml:space="preserve"> </w:t>
      </w:r>
      <w:r w:rsidR="00802361">
        <w:rPr>
          <w:lang w:val="en-US"/>
        </w:rPr>
        <w:t xml:space="preserve">and </w:t>
      </w:r>
      <w:r w:rsidR="00575CA7">
        <w:rPr>
          <w:lang w:val="en-US"/>
        </w:rPr>
        <w:fldChar w:fldCharType="begin"/>
      </w:r>
      <w:r w:rsidR="00802361">
        <w:rPr>
          <w:lang w:val="en-US"/>
        </w:rPr>
        <w:instrText xml:space="preserve"> REF _Ref326269905 \h </w:instrText>
      </w:r>
      <w:r w:rsidR="00575CA7">
        <w:rPr>
          <w:lang w:val="en-US"/>
        </w:rPr>
      </w:r>
      <w:r w:rsidR="00575CA7">
        <w:rPr>
          <w:lang w:val="en-US"/>
        </w:rPr>
        <w:fldChar w:fldCharType="separate"/>
      </w:r>
      <w:r w:rsidR="003648B8">
        <w:t xml:space="preserve">Figure </w:t>
      </w:r>
      <w:r w:rsidR="003648B8">
        <w:rPr>
          <w:noProof/>
        </w:rPr>
        <w:t>153</w:t>
      </w:r>
      <w:r w:rsidR="00575CA7">
        <w:rPr>
          <w:lang w:val="en-US"/>
        </w:rPr>
        <w:fldChar w:fldCharType="end"/>
      </w:r>
      <w:r w:rsidR="00802361">
        <w:rPr>
          <w:lang w:val="en-US"/>
        </w:rPr>
        <w:t xml:space="preserve">, respectively. </w:t>
      </w:r>
      <w:r>
        <w:rPr>
          <w:lang w:val="en-US"/>
        </w:rPr>
        <w:t xml:space="preserve">Highest levels of </w:t>
      </w:r>
      <w:r w:rsidR="00C544DE">
        <w:rPr>
          <w:lang w:val="en-US"/>
        </w:rPr>
        <w:t>land-use</w:t>
      </w:r>
      <w:r>
        <w:rPr>
          <w:lang w:val="en-US"/>
        </w:rPr>
        <w:t xml:space="preserve"> area </w:t>
      </w:r>
      <w:r w:rsidR="005E5D96">
        <w:rPr>
          <w:lang w:val="en-US"/>
        </w:rPr>
        <w:t xml:space="preserve">historically </w:t>
      </w:r>
      <w:r>
        <w:rPr>
          <w:lang w:val="en-US"/>
        </w:rPr>
        <w:t xml:space="preserve">are concentrated in the southern portions of CLFN SA and are associated with cultivation and residential footprints. Highest concentration of </w:t>
      </w:r>
      <w:r w:rsidR="00C544DE">
        <w:rPr>
          <w:lang w:val="en-US"/>
        </w:rPr>
        <w:t>land-use</w:t>
      </w:r>
      <w:r>
        <w:rPr>
          <w:lang w:val="en-US"/>
        </w:rPr>
        <w:t xml:space="preserve"> edge (km/km</w:t>
      </w:r>
      <w:r w:rsidRPr="003455DA">
        <w:rPr>
          <w:vertAlign w:val="superscript"/>
          <w:lang w:val="en-US"/>
        </w:rPr>
        <w:t>2</w:t>
      </w:r>
      <w:r>
        <w:rPr>
          <w:lang w:val="en-US"/>
        </w:rPr>
        <w:t>) are associated with the linear features of transportation and the hydrocarbon sector and are concentrated in the region south of CLAWR but north of the White Area, but also in the south central portions of CLAWR where current bitumen and heavy oil activity is highest.</w:t>
      </w:r>
    </w:p>
    <w:p w:rsidR="00894004" w:rsidRDefault="00894004" w:rsidP="00894004">
      <w:pPr>
        <w:pStyle w:val="BodyText"/>
        <w:rPr>
          <w:lang w:val="en-US"/>
        </w:rPr>
      </w:pPr>
      <w:r>
        <w:rPr>
          <w:lang w:val="en-US"/>
        </w:rPr>
        <w:t xml:space="preserve">Simulation results of the CLFN ALCES model indicate that future changes (next 200 years) to CLFN SA will equal or exceed any of the historical </w:t>
      </w:r>
      <w:r w:rsidR="00C544DE">
        <w:rPr>
          <w:lang w:val="en-US"/>
        </w:rPr>
        <w:t>land-use</w:t>
      </w:r>
      <w:r>
        <w:rPr>
          <w:lang w:val="en-US"/>
        </w:rPr>
        <w:t xml:space="preserve"> changes that occurred during the past century</w:t>
      </w:r>
      <w:r w:rsidR="00DB5ED3">
        <w:rPr>
          <w:lang w:val="en-US"/>
        </w:rPr>
        <w:t xml:space="preserve"> (</w:t>
      </w:r>
      <w:r w:rsidR="00575CA7">
        <w:rPr>
          <w:lang w:val="en-US"/>
        </w:rPr>
        <w:fldChar w:fldCharType="begin"/>
      </w:r>
      <w:r w:rsidR="00DB5ED3">
        <w:rPr>
          <w:lang w:val="en-US"/>
        </w:rPr>
        <w:instrText xml:space="preserve"> REF _Ref326269990 \h </w:instrText>
      </w:r>
      <w:r w:rsidR="00575CA7">
        <w:rPr>
          <w:lang w:val="en-US"/>
        </w:rPr>
      </w:r>
      <w:r w:rsidR="00575CA7">
        <w:rPr>
          <w:lang w:val="en-US"/>
        </w:rPr>
        <w:fldChar w:fldCharType="separate"/>
      </w:r>
      <w:r w:rsidR="003648B8">
        <w:t xml:space="preserve">Figure </w:t>
      </w:r>
      <w:r w:rsidR="003648B8">
        <w:rPr>
          <w:noProof/>
        </w:rPr>
        <w:t>152</w:t>
      </w:r>
      <w:r w:rsidR="00575CA7">
        <w:rPr>
          <w:lang w:val="en-US"/>
        </w:rPr>
        <w:fldChar w:fldCharType="end"/>
      </w:r>
      <w:r w:rsidR="00DB5ED3">
        <w:rPr>
          <w:lang w:val="en-US"/>
        </w:rPr>
        <w:t xml:space="preserve"> and </w:t>
      </w:r>
      <w:r w:rsidR="00575CA7">
        <w:rPr>
          <w:lang w:val="en-US"/>
        </w:rPr>
        <w:fldChar w:fldCharType="begin"/>
      </w:r>
      <w:r w:rsidR="00DB5ED3">
        <w:rPr>
          <w:lang w:val="en-US"/>
        </w:rPr>
        <w:instrText xml:space="preserve"> REF _Ref326269992 \h </w:instrText>
      </w:r>
      <w:r w:rsidR="00575CA7">
        <w:rPr>
          <w:lang w:val="en-US"/>
        </w:rPr>
      </w:r>
      <w:r w:rsidR="00575CA7">
        <w:rPr>
          <w:lang w:val="en-US"/>
        </w:rPr>
        <w:fldChar w:fldCharType="separate"/>
      </w:r>
      <w:r w:rsidR="003648B8">
        <w:t xml:space="preserve">Figure </w:t>
      </w:r>
      <w:r w:rsidR="003648B8">
        <w:rPr>
          <w:noProof/>
        </w:rPr>
        <w:t>154</w:t>
      </w:r>
      <w:r w:rsidR="00575CA7">
        <w:rPr>
          <w:lang w:val="en-US"/>
        </w:rPr>
        <w:fldChar w:fldCharType="end"/>
      </w:r>
      <w:r w:rsidR="00DB5ED3">
        <w:rPr>
          <w:lang w:val="en-US"/>
        </w:rPr>
        <w:t>)</w:t>
      </w:r>
      <w:r>
        <w:rPr>
          <w:lang w:val="en-US"/>
        </w:rPr>
        <w:t>.</w:t>
      </w:r>
    </w:p>
    <w:p w:rsidR="00894004" w:rsidRDefault="00894004" w:rsidP="00894004">
      <w:pPr>
        <w:pStyle w:val="BodyText"/>
        <w:rPr>
          <w:lang w:val="en-US"/>
        </w:rPr>
      </w:pPr>
      <w:r>
        <w:rPr>
          <w:lang w:val="en-US"/>
        </w:rPr>
        <w:t xml:space="preserve">The mapping of future anthropogenic area and edge tells a complex story. The crop sector continues to expand in the White Area, albeit at a slower rate, until Class 4 soils are no longer available. The footprint associated with residential (towns and acreages) continues to expand in the White Area at a pace concomitant with expanding regional human populations. The anthropogenic footprint area associated with the energy sector continues to expand for the next several decades, then gradually declines when rates of reclamation exceed rate of new seismic lines, wellsites, pipelines and processing plants. </w:t>
      </w:r>
      <w:r w:rsidR="005E5D96">
        <w:rPr>
          <w:lang w:val="en-US"/>
        </w:rPr>
        <w:t xml:space="preserve">The reader is again cautioned that our energy sector reclamation rates are highly optimistic and assume, for example, that all wellsites are reclaimed immediately after their productive life is completed. </w:t>
      </w:r>
      <w:r>
        <w:rPr>
          <w:lang w:val="en-US"/>
        </w:rPr>
        <w:t>The total amount of footprint area, however, does not decline throughout the simulation, as the rate of reclamation of transient features (energy sector) never exceeds the rate at which permanent features (crops, major roads, settlements) expand.</w:t>
      </w:r>
    </w:p>
    <w:p w:rsidR="00E73F45" w:rsidRDefault="00894004" w:rsidP="00894004">
      <w:pPr>
        <w:pStyle w:val="BodyText"/>
        <w:rPr>
          <w:lang w:val="en-US"/>
        </w:rPr>
      </w:pPr>
      <w:r>
        <w:rPr>
          <w:lang w:val="en-US"/>
        </w:rPr>
        <w:t>The mapping of future anthropogenic edge (km/km</w:t>
      </w:r>
      <w:r w:rsidRPr="00DE6870">
        <w:rPr>
          <w:vertAlign w:val="superscript"/>
          <w:lang w:val="en-US"/>
        </w:rPr>
        <w:t>2</w:t>
      </w:r>
      <w:r>
        <w:rPr>
          <w:lang w:val="en-US"/>
        </w:rPr>
        <w:t>) reveals a different temporal pattern. The majority of current and future footprint edge is associated with the hydrocarbon sector. These features (seismic lines, wellsites, access roads, pipelines) are given a defined lifespan and at the end of their functional lifespan (</w:t>
      </w:r>
      <w:r w:rsidR="00575CA7">
        <w:rPr>
          <w:lang w:val="en-US"/>
        </w:rPr>
        <w:fldChar w:fldCharType="begin"/>
      </w:r>
      <w:r>
        <w:rPr>
          <w:lang w:val="en-US"/>
        </w:rPr>
        <w:instrText xml:space="preserve"> REF _Ref326009530 \h </w:instrText>
      </w:r>
      <w:r w:rsidR="00575CA7">
        <w:rPr>
          <w:lang w:val="en-US"/>
        </w:rPr>
      </w:r>
      <w:r w:rsidR="00575CA7">
        <w:rPr>
          <w:lang w:val="en-US"/>
        </w:rPr>
        <w:fldChar w:fldCharType="separate"/>
      </w:r>
      <w:r w:rsidR="003648B8">
        <w:t xml:space="preserve">Figure </w:t>
      </w:r>
      <w:r w:rsidR="003648B8">
        <w:rPr>
          <w:noProof/>
        </w:rPr>
        <w:t>129</w:t>
      </w:r>
      <w:r w:rsidR="00575CA7">
        <w:rPr>
          <w:lang w:val="en-US"/>
        </w:rPr>
        <w:fldChar w:fldCharType="end"/>
      </w:r>
      <w:r>
        <w:rPr>
          <w:lang w:val="en-US"/>
        </w:rPr>
        <w:t xml:space="preserve">) begin to reclaim. </w:t>
      </w:r>
    </w:p>
    <w:p w:rsidR="00E73F45" w:rsidRDefault="004A5CE3" w:rsidP="00894004">
      <w:pPr>
        <w:pStyle w:val="BodyText"/>
        <w:rPr>
          <w:lang w:val="en-US"/>
        </w:rPr>
      </w:pPr>
      <w:r>
        <w:rPr>
          <w:lang w:val="en-US"/>
        </w:rPr>
        <w:lastRenderedPageBreak/>
        <w:t>In terms of net footprint edge (km/km2), average landscape edge densities peak at ~4 km/km</w:t>
      </w:r>
      <w:r w:rsidRPr="004A5CE3">
        <w:rPr>
          <w:vertAlign w:val="superscript"/>
          <w:lang w:val="en-US"/>
        </w:rPr>
        <w:t>2</w:t>
      </w:r>
      <w:r>
        <w:rPr>
          <w:lang w:val="en-US"/>
        </w:rPr>
        <w:t xml:space="preserve"> at year 2040 and then begin to incrementally decline. It is important to recognize that there will be significant spatia</w:t>
      </w:r>
      <w:r w:rsidR="00E73F45">
        <w:rPr>
          <w:lang w:val="en-US"/>
        </w:rPr>
        <w:t>l variation in these densities.</w:t>
      </w:r>
    </w:p>
    <w:p w:rsidR="00E73F45" w:rsidRDefault="004A5CE3" w:rsidP="00894004">
      <w:pPr>
        <w:pStyle w:val="BodyText"/>
        <w:rPr>
          <w:lang w:val="en-US"/>
        </w:rPr>
      </w:pPr>
      <w:r>
        <w:rPr>
          <w:lang w:val="en-US"/>
        </w:rPr>
        <w:t>A most startling observation is that gross edge density would be in the order of ~24 km/km</w:t>
      </w:r>
      <w:r w:rsidRPr="004A5CE3">
        <w:rPr>
          <w:vertAlign w:val="superscript"/>
          <w:lang w:val="en-US"/>
        </w:rPr>
        <w:t>2</w:t>
      </w:r>
      <w:r>
        <w:rPr>
          <w:lang w:val="en-US"/>
        </w:rPr>
        <w:t xml:space="preserve">, </w:t>
      </w:r>
      <w:r w:rsidR="00E73F45">
        <w:rPr>
          <w:lang w:val="en-US"/>
        </w:rPr>
        <w:t>much</w:t>
      </w:r>
      <w:r>
        <w:rPr>
          <w:lang w:val="en-US"/>
        </w:rPr>
        <w:t xml:space="preserve"> of which would be </w:t>
      </w:r>
      <w:r w:rsidR="00E73F45">
        <w:rPr>
          <w:lang w:val="en-US"/>
        </w:rPr>
        <w:t xml:space="preserve">caused by </w:t>
      </w:r>
      <w:r>
        <w:rPr>
          <w:lang w:val="en-US"/>
        </w:rPr>
        <w:t xml:space="preserve">the dense network of 2-D and 3-D seismic lines that traverse the landscape and delineate the spatial dimensions of underlying reserves. Other features which contribute significantly to overall edge density include pipelines, access roads to wellpads, </w:t>
      </w:r>
      <w:r w:rsidR="001375E1">
        <w:rPr>
          <w:lang w:val="en-US"/>
        </w:rPr>
        <w:t>and access</w:t>
      </w:r>
      <w:r>
        <w:rPr>
          <w:lang w:val="en-US"/>
        </w:rPr>
        <w:t xml:space="preserve"> roads to rural residential. </w:t>
      </w:r>
      <w:r w:rsidR="00E73F45">
        <w:rPr>
          <w:lang w:val="en-US"/>
        </w:rPr>
        <w:t xml:space="preserve">Examples of the </w:t>
      </w:r>
      <w:r w:rsidR="00C544DE">
        <w:rPr>
          <w:lang w:val="en-US"/>
        </w:rPr>
        <w:t>land-use</w:t>
      </w:r>
      <w:r w:rsidR="00E73F45">
        <w:rPr>
          <w:lang w:val="en-US"/>
        </w:rPr>
        <w:t xml:space="preserve"> edge density associated with extraction of heavy oil and bitumen from CLFN SA are shown in </w:t>
      </w:r>
      <w:r w:rsidR="00575CA7">
        <w:rPr>
          <w:lang w:val="en-US"/>
        </w:rPr>
        <w:fldChar w:fldCharType="begin"/>
      </w:r>
      <w:r w:rsidR="00E73F45">
        <w:rPr>
          <w:lang w:val="en-US"/>
        </w:rPr>
        <w:instrText xml:space="preserve"> REF _Ref326310987 \h </w:instrText>
      </w:r>
      <w:r w:rsidR="00575CA7">
        <w:rPr>
          <w:lang w:val="en-US"/>
        </w:rPr>
      </w:r>
      <w:r w:rsidR="00575CA7">
        <w:rPr>
          <w:lang w:val="en-US"/>
        </w:rPr>
        <w:fldChar w:fldCharType="separate"/>
      </w:r>
      <w:r w:rsidR="003648B8">
        <w:t xml:space="preserve">Figure </w:t>
      </w:r>
      <w:r w:rsidR="003648B8">
        <w:rPr>
          <w:noProof/>
        </w:rPr>
        <w:t>149</w:t>
      </w:r>
      <w:r w:rsidR="00575CA7">
        <w:rPr>
          <w:lang w:val="en-US"/>
        </w:rPr>
        <w:fldChar w:fldCharType="end"/>
      </w:r>
      <w:r w:rsidR="00E73F45">
        <w:rPr>
          <w:lang w:val="en-US"/>
        </w:rPr>
        <w:t xml:space="preserve"> and </w:t>
      </w:r>
      <w:r w:rsidR="00575CA7">
        <w:rPr>
          <w:lang w:val="en-US"/>
        </w:rPr>
        <w:fldChar w:fldCharType="begin"/>
      </w:r>
      <w:r w:rsidR="00E73F45">
        <w:rPr>
          <w:lang w:val="en-US"/>
        </w:rPr>
        <w:instrText xml:space="preserve"> REF _Ref326311014 \h </w:instrText>
      </w:r>
      <w:r w:rsidR="00575CA7">
        <w:rPr>
          <w:lang w:val="en-US"/>
        </w:rPr>
      </w:r>
      <w:r w:rsidR="00575CA7">
        <w:rPr>
          <w:lang w:val="en-US"/>
        </w:rPr>
        <w:fldChar w:fldCharType="separate"/>
      </w:r>
      <w:r w:rsidR="003648B8">
        <w:t xml:space="preserve">Figure </w:t>
      </w:r>
      <w:r w:rsidR="003648B8">
        <w:rPr>
          <w:noProof/>
        </w:rPr>
        <w:t>150</w:t>
      </w:r>
      <w:r w:rsidR="00575CA7">
        <w:rPr>
          <w:lang w:val="en-US"/>
        </w:rPr>
        <w:fldChar w:fldCharType="end"/>
      </w:r>
      <w:r w:rsidR="00E73F45">
        <w:rPr>
          <w:lang w:val="en-US"/>
        </w:rPr>
        <w:t>. It is reasonable to expect that the energy sector may be able to rely on future seismic line technology that is less dense than observed today. If so, then these very high future densities may not be achieved. This possible trend is one reason why the ALCES Group chose to attribute seismic lines with a very short lifespan of 2 years.</w:t>
      </w:r>
    </w:p>
    <w:p w:rsidR="00E73F45" w:rsidRDefault="00894004" w:rsidP="00E73F45">
      <w:pPr>
        <w:pStyle w:val="BodyText"/>
        <w:rPr>
          <w:lang w:val="en-US"/>
        </w:rPr>
      </w:pPr>
      <w:r>
        <w:rPr>
          <w:lang w:val="en-US"/>
        </w:rPr>
        <w:t xml:space="preserve">Mapping at quarter-township scales indicate that some of these grid cells achieve </w:t>
      </w:r>
      <w:r w:rsidR="00E73F45">
        <w:rPr>
          <w:lang w:val="en-US"/>
        </w:rPr>
        <w:t xml:space="preserve">net </w:t>
      </w:r>
      <w:r>
        <w:rPr>
          <w:lang w:val="en-US"/>
        </w:rPr>
        <w:t>linear edge densities that exceed 10 km/km</w:t>
      </w:r>
      <w:r w:rsidRPr="005E5D96">
        <w:rPr>
          <w:vertAlign w:val="superscript"/>
          <w:lang w:val="en-US"/>
        </w:rPr>
        <w:t>2</w:t>
      </w:r>
      <w:r>
        <w:rPr>
          <w:lang w:val="en-US"/>
        </w:rPr>
        <w:t>. This may seem unrealistic to some, but as a reference point a 3-D seismic grid wit</w:t>
      </w:r>
      <w:r w:rsidR="00E73F45">
        <w:rPr>
          <w:lang w:val="en-US"/>
        </w:rPr>
        <w:t>h 1</w:t>
      </w:r>
      <w:r>
        <w:rPr>
          <w:lang w:val="en-US"/>
        </w:rPr>
        <w:t>00 m spacing would gen</w:t>
      </w:r>
      <w:r w:rsidR="00E73F45">
        <w:rPr>
          <w:lang w:val="en-US"/>
        </w:rPr>
        <w:t>erate a linear edge density of 2</w:t>
      </w:r>
      <w:r>
        <w:rPr>
          <w:lang w:val="en-US"/>
        </w:rPr>
        <w:t>0 km/km</w:t>
      </w:r>
      <w:r w:rsidRPr="00DE6870">
        <w:rPr>
          <w:vertAlign w:val="superscript"/>
          <w:lang w:val="en-US"/>
        </w:rPr>
        <w:t>2</w:t>
      </w:r>
      <w:r>
        <w:rPr>
          <w:lang w:val="en-US"/>
        </w:rPr>
        <w:t>.</w:t>
      </w:r>
    </w:p>
    <w:p w:rsidR="00E73F45" w:rsidRDefault="00E73F45" w:rsidP="00E73F45">
      <w:pPr>
        <w:pStyle w:val="BodyText"/>
        <w:rPr>
          <w:lang w:val="en-US"/>
        </w:rPr>
      </w:pPr>
      <w:r>
        <w:rPr>
          <w:lang w:val="en-US"/>
        </w:rPr>
        <w:t>From a simulation perspective in the CLFN ALCES model, all seismic lines and pipelines t</w:t>
      </w:r>
      <w:r w:rsidR="00F664D6">
        <w:rPr>
          <w:lang w:val="en-US"/>
        </w:rPr>
        <w:t xml:space="preserve">hat are constructed over </w:t>
      </w:r>
      <w:r>
        <w:rPr>
          <w:lang w:val="en-US"/>
        </w:rPr>
        <w:t>agricultural fields experience reclamation within 1 year of construction.</w:t>
      </w:r>
    </w:p>
    <w:p w:rsidR="00894004" w:rsidRDefault="00894004" w:rsidP="00894004">
      <w:pPr>
        <w:pStyle w:val="BodyText"/>
        <w:rPr>
          <w:lang w:val="en-US"/>
        </w:rPr>
      </w:pPr>
    </w:p>
    <w:p w:rsidR="00894004" w:rsidRDefault="00894004" w:rsidP="00894004">
      <w:pPr>
        <w:pStyle w:val="Heading3"/>
        <w:numPr>
          <w:ilvl w:val="0"/>
          <w:numId w:val="0"/>
        </w:numPr>
        <w:spacing w:before="0" w:after="0"/>
      </w:pPr>
      <w:r>
        <w:rPr>
          <w:noProof/>
        </w:rPr>
        <w:drawing>
          <wp:inline distT="0" distB="0" distL="0" distR="0">
            <wp:extent cx="4769184" cy="3600000"/>
            <wp:effectExtent l="19050" t="19050" r="12366" b="19500"/>
            <wp:docPr id="4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4" cstate="print"/>
                    <a:srcRect/>
                    <a:stretch>
                      <a:fillRect/>
                    </a:stretch>
                  </pic:blipFill>
                  <pic:spPr bwMode="auto">
                    <a:xfrm>
                      <a:off x="0" y="0"/>
                      <a:ext cx="4769184"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21" w:name="_Ref326269847"/>
      <w:bookmarkStart w:id="422" w:name="_Toc326233047"/>
      <w:bookmarkStart w:id="423" w:name="_Toc338703923"/>
      <w:proofErr w:type="gramStart"/>
      <w:r>
        <w:t xml:space="preserve">Figure </w:t>
      </w:r>
      <w:fldSimple w:instr=" SEQ Figure \* ARABIC ">
        <w:r w:rsidR="00A02D22">
          <w:rPr>
            <w:noProof/>
          </w:rPr>
          <w:t>144</w:t>
        </w:r>
      </w:fldSimple>
      <w:bookmarkEnd w:id="421"/>
      <w:r>
        <w:t>.</w:t>
      </w:r>
      <w:proofErr w:type="gramEnd"/>
      <w:r>
        <w:t xml:space="preserve"> </w:t>
      </w:r>
      <w:proofErr w:type="gramStart"/>
      <w:r>
        <w:t xml:space="preserve">Changes in landscape </w:t>
      </w:r>
      <w:r w:rsidR="001E6C7F">
        <w:t xml:space="preserve">and </w:t>
      </w:r>
      <w:r w:rsidR="00C544DE">
        <w:t>land-use</w:t>
      </w:r>
      <w:r w:rsidR="001E6C7F">
        <w:t xml:space="preserve"> </w:t>
      </w:r>
      <w:r>
        <w:t>classes in CLFN SA.</w:t>
      </w:r>
      <w:bookmarkEnd w:id="423"/>
      <w:proofErr w:type="gramEnd"/>
      <w:r>
        <w:t xml:space="preserve"> </w:t>
      </w:r>
      <w:bookmarkEnd w:id="422"/>
    </w:p>
    <w:p w:rsidR="00894004" w:rsidRDefault="00894004" w:rsidP="00894004">
      <w:pPr>
        <w:keepNext/>
      </w:pPr>
    </w:p>
    <w:p w:rsidR="00894004" w:rsidRDefault="00894004" w:rsidP="00894004">
      <w:pPr>
        <w:keepNext/>
      </w:pPr>
      <w:r>
        <w:rPr>
          <w:noProof/>
          <w:lang w:val="en-US"/>
        </w:rPr>
        <w:drawing>
          <wp:inline distT="0" distB="0" distL="0" distR="0">
            <wp:extent cx="4778423" cy="3600000"/>
            <wp:effectExtent l="19050" t="19050" r="22177" b="19500"/>
            <wp:docPr id="4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5" cstate="print"/>
                    <a:srcRect/>
                    <a:stretch>
                      <a:fillRect/>
                    </a:stretch>
                  </pic:blipFill>
                  <pic:spPr bwMode="auto">
                    <a:xfrm>
                      <a:off x="0" y="0"/>
                      <a:ext cx="4778423"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24" w:name="_Ref326269849"/>
      <w:bookmarkStart w:id="425" w:name="_Toc326233048"/>
      <w:bookmarkStart w:id="426" w:name="_Toc338703924"/>
      <w:proofErr w:type="gramStart"/>
      <w:r>
        <w:t xml:space="preserve">Figure </w:t>
      </w:r>
      <w:fldSimple w:instr=" SEQ Figure \* ARABIC ">
        <w:r w:rsidR="00A02D22">
          <w:rPr>
            <w:noProof/>
          </w:rPr>
          <w:t>145</w:t>
        </w:r>
      </w:fldSimple>
      <w:bookmarkEnd w:id="424"/>
      <w:r>
        <w:t>.</w:t>
      </w:r>
      <w:proofErr w:type="gramEnd"/>
      <w:r>
        <w:t xml:space="preserve"> </w:t>
      </w:r>
      <w:proofErr w:type="gramStart"/>
      <w:r>
        <w:t xml:space="preserve">Changes in </w:t>
      </w:r>
      <w:r w:rsidR="00C544DE">
        <w:t>land-use</w:t>
      </w:r>
      <w:r w:rsidR="001E6C7F">
        <w:t xml:space="preserve"> classes </w:t>
      </w:r>
      <w:r>
        <w:t>in CLFN SA.</w:t>
      </w:r>
      <w:bookmarkEnd w:id="426"/>
      <w:proofErr w:type="gramEnd"/>
      <w:r>
        <w:t xml:space="preserve"> </w:t>
      </w:r>
      <w:bookmarkEnd w:id="425"/>
    </w:p>
    <w:p w:rsidR="00894004" w:rsidRPr="00280E57" w:rsidRDefault="00894004" w:rsidP="00894004">
      <w:pPr>
        <w:rPr>
          <w:lang w:eastAsia="en-CA"/>
        </w:rPr>
      </w:pPr>
    </w:p>
    <w:p w:rsidR="00894004" w:rsidRDefault="00894004" w:rsidP="00894004">
      <w:pPr>
        <w:pStyle w:val="BodyText"/>
        <w:keepNext/>
        <w:spacing w:after="0"/>
      </w:pPr>
      <w:r w:rsidRPr="00EF3BB8">
        <w:rPr>
          <w:noProof/>
          <w:lang w:val="en-US"/>
        </w:rPr>
        <w:drawing>
          <wp:inline distT="0" distB="0" distL="0" distR="0">
            <wp:extent cx="4760646" cy="3600000"/>
            <wp:effectExtent l="19050" t="19050" r="20904" b="19500"/>
            <wp:docPr id="4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6" cstate="print"/>
                    <a:srcRect/>
                    <a:stretch>
                      <a:fillRect/>
                    </a:stretch>
                  </pic:blipFill>
                  <pic:spPr bwMode="auto">
                    <a:xfrm>
                      <a:off x="0" y="0"/>
                      <a:ext cx="4760646"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27" w:name="_Ref326269612"/>
      <w:bookmarkStart w:id="428" w:name="_Toc326233049"/>
      <w:bookmarkStart w:id="429" w:name="_Toc338703925"/>
      <w:proofErr w:type="gramStart"/>
      <w:r>
        <w:t xml:space="preserve">Figure </w:t>
      </w:r>
      <w:fldSimple w:instr=" SEQ Figure \* ARABIC ">
        <w:r w:rsidR="00A02D22">
          <w:rPr>
            <w:noProof/>
          </w:rPr>
          <w:t>146</w:t>
        </w:r>
      </w:fldSimple>
      <w:bookmarkEnd w:id="427"/>
      <w:r w:rsidR="00A911B8">
        <w:t>.</w:t>
      </w:r>
      <w:proofErr w:type="gramEnd"/>
      <w:r w:rsidR="00A911B8">
        <w:t xml:space="preserve"> Historical, current and future c</w:t>
      </w:r>
      <w:r>
        <w:t xml:space="preserve">hanges in gross and net </w:t>
      </w:r>
      <w:r w:rsidR="00C544DE">
        <w:t>land-use</w:t>
      </w:r>
      <w:r>
        <w:t xml:space="preserve"> </w:t>
      </w:r>
      <w:r w:rsidR="001E6C7F">
        <w:t xml:space="preserve">class </w:t>
      </w:r>
      <w:r>
        <w:t>area in CLFN SA.</w:t>
      </w:r>
      <w:bookmarkEnd w:id="429"/>
      <w:r>
        <w:t xml:space="preserve"> </w:t>
      </w:r>
      <w:bookmarkEnd w:id="428"/>
    </w:p>
    <w:p w:rsidR="001375E1" w:rsidRDefault="001375E1" w:rsidP="00894004">
      <w:pPr>
        <w:pStyle w:val="BodyText"/>
        <w:keepNext/>
        <w:spacing w:after="0"/>
      </w:pPr>
    </w:p>
    <w:p w:rsidR="00894004" w:rsidRDefault="00894004" w:rsidP="00894004">
      <w:pPr>
        <w:pStyle w:val="BodyText"/>
        <w:keepNext/>
        <w:spacing w:after="0"/>
      </w:pPr>
      <w:r>
        <w:rPr>
          <w:noProof/>
          <w:lang w:val="en-US"/>
        </w:rPr>
        <w:drawing>
          <wp:inline distT="0" distB="0" distL="0" distR="0">
            <wp:extent cx="4736920" cy="3213248"/>
            <wp:effectExtent l="19050" t="19050" r="25580" b="25252"/>
            <wp:docPr id="54" name="Picture 45" descr="C:\Users\Cornel\Desktop\Cold Lake\photo jpgs for Brad\road shots for Cornel\IMG_1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Cornel\Desktop\Cold Lake\photo jpgs for Brad\road shots for Cornel\IMG_1584.JPG"/>
                    <pic:cNvPicPr>
                      <a:picLocks noChangeAspect="1" noChangeArrowheads="1"/>
                    </pic:cNvPicPr>
                  </pic:nvPicPr>
                  <pic:blipFill>
                    <a:blip r:embed="rId167" cstate="print"/>
                    <a:srcRect/>
                    <a:stretch>
                      <a:fillRect/>
                    </a:stretch>
                  </pic:blipFill>
                  <pic:spPr bwMode="auto">
                    <a:xfrm>
                      <a:off x="0" y="0"/>
                      <a:ext cx="4744267" cy="3218232"/>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30" w:name="_Ref326270339"/>
      <w:bookmarkStart w:id="431" w:name="_Toc326233050"/>
      <w:bookmarkStart w:id="432" w:name="_Toc338703926"/>
      <w:proofErr w:type="gramStart"/>
      <w:r>
        <w:t xml:space="preserve">Figure </w:t>
      </w:r>
      <w:fldSimple w:instr=" SEQ Figure \* ARABIC ">
        <w:r w:rsidR="00A02D22">
          <w:rPr>
            <w:noProof/>
          </w:rPr>
          <w:t>147</w:t>
        </w:r>
      </w:fldSimple>
      <w:bookmarkEnd w:id="430"/>
      <w:r>
        <w:t>.</w:t>
      </w:r>
      <w:proofErr w:type="gramEnd"/>
      <w:r>
        <w:t xml:space="preserve"> </w:t>
      </w:r>
      <w:proofErr w:type="gramStart"/>
      <w:r>
        <w:t>An example of a “reclaimed” industrial site on CLFN SA.</w:t>
      </w:r>
      <w:proofErr w:type="gramEnd"/>
      <w:r>
        <w:t xml:space="preserve"> Establishment of vegetative cover does not necessarily imply that natural plant community </w:t>
      </w:r>
      <w:r w:rsidR="001E6C7F">
        <w:t>succession</w:t>
      </w:r>
      <w:r>
        <w:t xml:space="preserve"> will occur.</w:t>
      </w:r>
      <w:bookmarkEnd w:id="431"/>
      <w:bookmarkEnd w:id="432"/>
    </w:p>
    <w:p w:rsidR="00894004" w:rsidRPr="003B08C0" w:rsidRDefault="00894004" w:rsidP="00894004">
      <w:pPr>
        <w:rPr>
          <w:lang w:eastAsia="en-CA"/>
        </w:rPr>
      </w:pPr>
    </w:p>
    <w:p w:rsidR="00894004" w:rsidRDefault="00AE772A" w:rsidP="001E6C7F">
      <w:pPr>
        <w:keepNext/>
        <w:spacing w:line="276" w:lineRule="auto"/>
      </w:pPr>
      <w:r>
        <w:rPr>
          <w:noProof/>
          <w:lang w:val="en-US"/>
        </w:rPr>
        <w:drawing>
          <wp:inline distT="0" distB="0" distL="0" distR="0">
            <wp:extent cx="4798710" cy="3600000"/>
            <wp:effectExtent l="19050" t="19050" r="20940" b="1950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cstate="print"/>
                    <a:srcRect/>
                    <a:stretch>
                      <a:fillRect/>
                    </a:stretch>
                  </pic:blipFill>
                  <pic:spPr bwMode="auto">
                    <a:xfrm>
                      <a:off x="0" y="0"/>
                      <a:ext cx="4798710"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A911B8" w:rsidRPr="00A911B8" w:rsidRDefault="00894004" w:rsidP="00A911B8">
      <w:pPr>
        <w:pStyle w:val="Caption"/>
      </w:pPr>
      <w:bookmarkStart w:id="433" w:name="_Toc326233051"/>
      <w:bookmarkStart w:id="434" w:name="_Toc338703927"/>
      <w:proofErr w:type="gramStart"/>
      <w:r>
        <w:t xml:space="preserve">Figure </w:t>
      </w:r>
      <w:fldSimple w:instr=" SEQ Figure \* ARABIC ">
        <w:r w:rsidR="00A02D22">
          <w:rPr>
            <w:noProof/>
          </w:rPr>
          <w:t>148</w:t>
        </w:r>
      </w:fldSimple>
      <w:r>
        <w:t>.</w:t>
      </w:r>
      <w:proofErr w:type="gramEnd"/>
      <w:r>
        <w:t xml:space="preserve"> </w:t>
      </w:r>
      <w:proofErr w:type="gramStart"/>
      <w:r>
        <w:t xml:space="preserve">Changes in net </w:t>
      </w:r>
      <w:r w:rsidR="00C544DE">
        <w:t>land-use</w:t>
      </w:r>
      <w:r>
        <w:t xml:space="preserve"> footprint edge </w:t>
      </w:r>
      <w:r w:rsidR="001E6C7F">
        <w:t>(km/km</w:t>
      </w:r>
      <w:r w:rsidR="001E6C7F" w:rsidRPr="001E6C7F">
        <w:rPr>
          <w:vertAlign w:val="superscript"/>
        </w:rPr>
        <w:t>2</w:t>
      </w:r>
      <w:r w:rsidR="001E6C7F">
        <w:t xml:space="preserve">) </w:t>
      </w:r>
      <w:r>
        <w:t>in CLFN SA.</w:t>
      </w:r>
      <w:bookmarkEnd w:id="433"/>
      <w:proofErr w:type="gramEnd"/>
      <w:r w:rsidR="001E6C7F">
        <w:t xml:space="preserve"> </w:t>
      </w:r>
      <w:r w:rsidR="00FB1EAA">
        <w:t xml:space="preserve">Edge includes the boundaries of all footprint types from each </w:t>
      </w:r>
      <w:proofErr w:type="gramStart"/>
      <w:r w:rsidR="00C544DE">
        <w:t>land-use</w:t>
      </w:r>
      <w:r w:rsidR="00FB1EAA">
        <w:t>s</w:t>
      </w:r>
      <w:proofErr w:type="gramEnd"/>
      <w:r w:rsidR="00FB1EAA">
        <w:t xml:space="preserve"> of energy, agriculture, transportation, and settlements.</w:t>
      </w:r>
      <w:bookmarkEnd w:id="434"/>
      <w:r w:rsidR="00FB1EAA">
        <w:t xml:space="preserve"> </w:t>
      </w:r>
    </w:p>
    <w:p w:rsidR="00FB1EAA" w:rsidRDefault="00FB1EAA" w:rsidP="00FB1EAA">
      <w:pPr>
        <w:keepNext/>
      </w:pPr>
      <w:r>
        <w:rPr>
          <w:noProof/>
          <w:lang w:val="en-US"/>
        </w:rPr>
        <w:lastRenderedPageBreak/>
        <w:drawing>
          <wp:inline distT="0" distB="0" distL="0" distR="0">
            <wp:extent cx="4765000" cy="3600000"/>
            <wp:effectExtent l="19050" t="19050" r="16550" b="1950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9" cstate="print"/>
                    <a:srcRect/>
                    <a:stretch>
                      <a:fillRect/>
                    </a:stretch>
                  </pic:blipFill>
                  <pic:spPr bwMode="auto">
                    <a:xfrm>
                      <a:off x="0" y="0"/>
                      <a:ext cx="4765000"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FB1EAA" w:rsidRDefault="00FB1EAA" w:rsidP="00FB1EAA">
      <w:pPr>
        <w:pStyle w:val="Caption"/>
      </w:pPr>
      <w:bookmarkStart w:id="435" w:name="_Ref326310987"/>
      <w:bookmarkStart w:id="436" w:name="_Toc338703928"/>
      <w:proofErr w:type="gramStart"/>
      <w:r>
        <w:t xml:space="preserve">Figure </w:t>
      </w:r>
      <w:fldSimple w:instr=" SEQ Figure \* ARABIC ">
        <w:r w:rsidR="00A02D22">
          <w:rPr>
            <w:noProof/>
          </w:rPr>
          <w:t>149</w:t>
        </w:r>
      </w:fldSimple>
      <w:bookmarkEnd w:id="435"/>
      <w:r>
        <w:t>.</w:t>
      </w:r>
      <w:proofErr w:type="gramEnd"/>
      <w:r>
        <w:t xml:space="preserve"> Example of edge density creat</w:t>
      </w:r>
      <w:r w:rsidR="009B63B9">
        <w:t xml:space="preserve">ed </w:t>
      </w:r>
      <w:r w:rsidR="004A5CE3">
        <w:t>by footprints associate wit</w:t>
      </w:r>
      <w:r>
        <w:t>h the extraction</w:t>
      </w:r>
      <w:r w:rsidR="004A5CE3">
        <w:t xml:space="preserve"> of bitumen and heavy oil in CLFN SA. Source: Google Earth.</w:t>
      </w:r>
      <w:bookmarkEnd w:id="436"/>
    </w:p>
    <w:p w:rsidR="00FB1EAA" w:rsidRDefault="00FB1EAA" w:rsidP="00FB1EAA">
      <w:pPr>
        <w:keepNext/>
      </w:pPr>
      <w:r>
        <w:rPr>
          <w:noProof/>
          <w:lang w:val="en-US"/>
        </w:rPr>
        <w:drawing>
          <wp:inline distT="0" distB="0" distL="0" distR="0">
            <wp:extent cx="4740688" cy="3600000"/>
            <wp:effectExtent l="19050" t="19050" r="21812" b="19500"/>
            <wp:docPr id="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0" cstate="print"/>
                    <a:srcRect/>
                    <a:stretch>
                      <a:fillRect/>
                    </a:stretch>
                  </pic:blipFill>
                  <pic:spPr bwMode="auto">
                    <a:xfrm>
                      <a:off x="0" y="0"/>
                      <a:ext cx="4740688"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FB1EAA" w:rsidRDefault="00FB1EAA" w:rsidP="00FB1EAA">
      <w:pPr>
        <w:pStyle w:val="Caption"/>
      </w:pPr>
      <w:bookmarkStart w:id="437" w:name="_Ref326311014"/>
      <w:bookmarkStart w:id="438" w:name="_Toc338703929"/>
      <w:proofErr w:type="gramStart"/>
      <w:r>
        <w:t xml:space="preserve">Figure </w:t>
      </w:r>
      <w:fldSimple w:instr=" SEQ Figure \* ARABIC ">
        <w:r w:rsidR="00A02D22">
          <w:rPr>
            <w:noProof/>
          </w:rPr>
          <w:t>150</w:t>
        </w:r>
      </w:fldSimple>
      <w:bookmarkEnd w:id="437"/>
      <w:r w:rsidR="004A5CE3">
        <w:t>.</w:t>
      </w:r>
      <w:proofErr w:type="gramEnd"/>
      <w:r w:rsidR="004A5CE3">
        <w:t xml:space="preserve"> E</w:t>
      </w:r>
      <w:r w:rsidR="009B63B9">
        <w:t xml:space="preserve">xample of edge density created </w:t>
      </w:r>
      <w:r w:rsidR="004A5CE3">
        <w:t>by footprints associate with the extraction of bitumen and heavy oil in CLFN SA. Source: Google Earth.</w:t>
      </w:r>
      <w:bookmarkEnd w:id="438"/>
    </w:p>
    <w:p w:rsidR="00E73F45" w:rsidRPr="00E73F45" w:rsidRDefault="00E73F45" w:rsidP="00E73F45">
      <w:pPr>
        <w:rPr>
          <w:lang w:eastAsia="en-CA"/>
        </w:rPr>
      </w:pPr>
    </w:p>
    <w:p w:rsidR="00B20719" w:rsidRDefault="00B20719">
      <w:pPr>
        <w:spacing w:after="200" w:line="276" w:lineRule="auto"/>
        <w:rPr>
          <w:noProof/>
          <w:lang w:val="en-US"/>
        </w:rPr>
      </w:pPr>
      <w:r>
        <w:rPr>
          <w:noProof/>
          <w:lang w:val="en-US"/>
        </w:rPr>
        <w:br w:type="page"/>
      </w:r>
    </w:p>
    <w:p w:rsidR="00894004" w:rsidRDefault="00F00560" w:rsidP="00894004">
      <w:pPr>
        <w:keepNext/>
      </w:pPr>
      <w:r>
        <w:rPr>
          <w:noProof/>
          <w:lang w:val="en-US"/>
        </w:rPr>
        <w:lastRenderedPageBreak/>
        <w:drawing>
          <wp:inline distT="0" distB="0" distL="0" distR="0">
            <wp:extent cx="5557087" cy="3600000"/>
            <wp:effectExtent l="19050" t="19050" r="24563" b="19500"/>
            <wp:docPr id="761" name="Picture 3" descr="Z:\Clients and Initiatives\Cold Lake First Nations\Maps and GIS\Maps with reserves shown in blue\CLFN Mapper % Anth 1910-2010 Formal Map May 29-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Clients and Initiatives\Cold Lake First Nations\Maps and GIS\Maps with reserves shown in blue\CLFN Mapper % Anth 1910-2010 Formal Map May 29-2012.png"/>
                    <pic:cNvPicPr>
                      <a:picLocks noChangeAspect="1" noChangeArrowheads="1"/>
                    </pic:cNvPicPr>
                  </pic:nvPicPr>
                  <pic:blipFill>
                    <a:blip r:embed="rId171" cstate="print"/>
                    <a:srcRect/>
                    <a:stretch>
                      <a:fillRect/>
                    </a:stretch>
                  </pic:blipFill>
                  <pic:spPr bwMode="auto">
                    <a:xfrm>
                      <a:off x="0" y="0"/>
                      <a:ext cx="5557087"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39" w:name="_Ref326269903"/>
      <w:bookmarkStart w:id="440" w:name="_Toc326233052"/>
      <w:bookmarkStart w:id="441" w:name="_Toc338703930"/>
      <w:proofErr w:type="gramStart"/>
      <w:r>
        <w:t xml:space="preserve">Figure </w:t>
      </w:r>
      <w:fldSimple w:instr=" SEQ Figure \* ARABIC ">
        <w:r w:rsidR="00A02D22">
          <w:rPr>
            <w:noProof/>
          </w:rPr>
          <w:t>151</w:t>
        </w:r>
      </w:fldSimple>
      <w:bookmarkEnd w:id="439"/>
      <w:r>
        <w:t>.</w:t>
      </w:r>
      <w:proofErr w:type="gramEnd"/>
      <w:r>
        <w:t xml:space="preserve"> </w:t>
      </w:r>
      <w:proofErr w:type="gramStart"/>
      <w:r>
        <w:t>Historical change in anthropogenic area (%) on CLFN SA.</w:t>
      </w:r>
      <w:bookmarkEnd w:id="440"/>
      <w:bookmarkEnd w:id="441"/>
      <w:proofErr w:type="gramEnd"/>
    </w:p>
    <w:p w:rsidR="00894004" w:rsidRDefault="00894004" w:rsidP="00894004">
      <w:pPr>
        <w:keepNext/>
      </w:pPr>
    </w:p>
    <w:p w:rsidR="00894004" w:rsidRDefault="00F00560" w:rsidP="00894004">
      <w:pPr>
        <w:keepNext/>
      </w:pPr>
      <w:r>
        <w:rPr>
          <w:noProof/>
          <w:lang w:val="en-US"/>
        </w:rPr>
        <w:drawing>
          <wp:inline distT="0" distB="0" distL="0" distR="0">
            <wp:extent cx="5557087" cy="3600000"/>
            <wp:effectExtent l="19050" t="19050" r="24563" b="19500"/>
            <wp:docPr id="764" name="Picture 4" descr="Z:\Clients and Initiatives\Cold Lake First Nations\Maps and GIS\Maps with reserves shown in blue\CLFN Mapper % Anth 2010-2210 Formal Map May 29-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Clients and Initiatives\Cold Lake First Nations\Maps and GIS\Maps with reserves shown in blue\CLFN Mapper % Anth 2010-2210 Formal Map May 29-2012.png"/>
                    <pic:cNvPicPr>
                      <a:picLocks noChangeAspect="1" noChangeArrowheads="1"/>
                    </pic:cNvPicPr>
                  </pic:nvPicPr>
                  <pic:blipFill>
                    <a:blip r:embed="rId172" cstate="print"/>
                    <a:srcRect/>
                    <a:stretch>
                      <a:fillRect/>
                    </a:stretch>
                  </pic:blipFill>
                  <pic:spPr bwMode="auto">
                    <a:xfrm>
                      <a:off x="0" y="0"/>
                      <a:ext cx="5557087"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42" w:name="_Ref326269990"/>
      <w:bookmarkStart w:id="443" w:name="_Toc326233053"/>
      <w:bookmarkStart w:id="444" w:name="_Toc338703931"/>
      <w:proofErr w:type="gramStart"/>
      <w:r>
        <w:t xml:space="preserve">Figure </w:t>
      </w:r>
      <w:fldSimple w:instr=" SEQ Figure \* ARABIC ">
        <w:r w:rsidR="00A02D22">
          <w:rPr>
            <w:noProof/>
          </w:rPr>
          <w:t>152</w:t>
        </w:r>
      </w:fldSimple>
      <w:bookmarkEnd w:id="442"/>
      <w:r>
        <w:t>.</w:t>
      </w:r>
      <w:proofErr w:type="gramEnd"/>
      <w:r>
        <w:t xml:space="preserve"> </w:t>
      </w:r>
      <w:proofErr w:type="gramStart"/>
      <w:r>
        <w:t>Future change in anthropogenic area (%) of CLFN SA.</w:t>
      </w:r>
      <w:bookmarkEnd w:id="443"/>
      <w:bookmarkEnd w:id="444"/>
      <w:proofErr w:type="gramEnd"/>
    </w:p>
    <w:p w:rsidR="00894004" w:rsidRPr="00E071DD" w:rsidRDefault="00894004" w:rsidP="00894004">
      <w:pPr>
        <w:rPr>
          <w:lang w:eastAsia="en-CA"/>
        </w:rPr>
      </w:pPr>
    </w:p>
    <w:p w:rsidR="00894004" w:rsidRDefault="00F00560" w:rsidP="00894004">
      <w:pPr>
        <w:keepNext/>
      </w:pPr>
      <w:r>
        <w:rPr>
          <w:noProof/>
          <w:lang w:val="en-US"/>
        </w:rPr>
        <w:lastRenderedPageBreak/>
        <w:drawing>
          <wp:inline distT="0" distB="0" distL="0" distR="0">
            <wp:extent cx="5557088" cy="3600000"/>
            <wp:effectExtent l="19050" t="19050" r="24562" b="19500"/>
            <wp:docPr id="18" name="Picture 1" descr="Z:\Clients and Initiatives\Cold Lake First Nations\Maps and GIS\Maps with reserves shown in blue\CLFN Mapper Edge 1910-2010 Formal Map May 29-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Clients and Initiatives\Cold Lake First Nations\Maps and GIS\Maps with reserves shown in blue\CLFN Mapper Edge 1910-2010 Formal Map May 29-2012.png"/>
                    <pic:cNvPicPr>
                      <a:picLocks noChangeAspect="1" noChangeArrowheads="1"/>
                    </pic:cNvPicPr>
                  </pic:nvPicPr>
                  <pic:blipFill>
                    <a:blip r:embed="rId173" cstate="print"/>
                    <a:srcRect/>
                    <a:stretch>
                      <a:fillRect/>
                    </a:stretch>
                  </pic:blipFill>
                  <pic:spPr bwMode="auto">
                    <a:xfrm>
                      <a:off x="0" y="0"/>
                      <a:ext cx="5557088"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45" w:name="_Ref326269905"/>
      <w:bookmarkStart w:id="446" w:name="_Toc326233054"/>
      <w:bookmarkStart w:id="447" w:name="_Toc338703932"/>
      <w:proofErr w:type="gramStart"/>
      <w:r>
        <w:t xml:space="preserve">Figure </w:t>
      </w:r>
      <w:fldSimple w:instr=" SEQ Figure \* ARABIC ">
        <w:r w:rsidR="00A02D22">
          <w:rPr>
            <w:noProof/>
          </w:rPr>
          <w:t>153</w:t>
        </w:r>
      </w:fldSimple>
      <w:bookmarkEnd w:id="445"/>
      <w:r>
        <w:t>.</w:t>
      </w:r>
      <w:proofErr w:type="gramEnd"/>
      <w:r>
        <w:t xml:space="preserve"> </w:t>
      </w:r>
      <w:proofErr w:type="gramStart"/>
      <w:r>
        <w:t>Historical change in anthropogenic edge (</w:t>
      </w:r>
      <w:r>
        <w:rPr>
          <w:lang w:val="en-US"/>
        </w:rPr>
        <w:t>km/km</w:t>
      </w:r>
      <w:r w:rsidRPr="00DE6870">
        <w:rPr>
          <w:vertAlign w:val="superscript"/>
          <w:lang w:val="en-US"/>
        </w:rPr>
        <w:t>2</w:t>
      </w:r>
      <w:r>
        <w:t>) on CLFN SA.</w:t>
      </w:r>
      <w:bookmarkEnd w:id="446"/>
      <w:bookmarkEnd w:id="447"/>
      <w:proofErr w:type="gramEnd"/>
    </w:p>
    <w:p w:rsidR="00894004" w:rsidRPr="00E071DD" w:rsidRDefault="00894004" w:rsidP="00894004">
      <w:pPr>
        <w:rPr>
          <w:lang w:eastAsia="en-CA"/>
        </w:rPr>
      </w:pPr>
    </w:p>
    <w:p w:rsidR="00894004" w:rsidRDefault="00F00560" w:rsidP="00894004">
      <w:pPr>
        <w:keepNext/>
      </w:pPr>
      <w:r>
        <w:rPr>
          <w:noProof/>
          <w:lang w:val="en-US"/>
        </w:rPr>
        <w:drawing>
          <wp:inline distT="0" distB="0" distL="0" distR="0">
            <wp:extent cx="5557088" cy="3600000"/>
            <wp:effectExtent l="19050" t="19050" r="24562" b="19500"/>
            <wp:docPr id="759" name="Picture 2" descr="Z:\Clients and Initiatives\Cold Lake First Nations\Maps and GIS\Maps with reserves shown in blue\CLFN Mapper Edge 2010-2210 Formal Map May 29-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Clients and Initiatives\Cold Lake First Nations\Maps and GIS\Maps with reserves shown in blue\CLFN Mapper Edge 2010-2210 Formal Map May 29-2012.png"/>
                    <pic:cNvPicPr>
                      <a:picLocks noChangeAspect="1" noChangeArrowheads="1"/>
                    </pic:cNvPicPr>
                  </pic:nvPicPr>
                  <pic:blipFill>
                    <a:blip r:embed="rId174" cstate="print"/>
                    <a:srcRect/>
                    <a:stretch>
                      <a:fillRect/>
                    </a:stretch>
                  </pic:blipFill>
                  <pic:spPr bwMode="auto">
                    <a:xfrm>
                      <a:off x="0" y="0"/>
                      <a:ext cx="5557088"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48" w:name="_Ref326269992"/>
      <w:bookmarkStart w:id="449" w:name="_Toc326233055"/>
      <w:bookmarkStart w:id="450" w:name="_Toc338703933"/>
      <w:proofErr w:type="gramStart"/>
      <w:r>
        <w:t xml:space="preserve">Figure </w:t>
      </w:r>
      <w:fldSimple w:instr=" SEQ Figure \* ARABIC ">
        <w:r w:rsidR="00A02D22">
          <w:rPr>
            <w:noProof/>
          </w:rPr>
          <w:t>154</w:t>
        </w:r>
      </w:fldSimple>
      <w:bookmarkEnd w:id="448"/>
      <w:r>
        <w:t>.</w:t>
      </w:r>
      <w:proofErr w:type="gramEnd"/>
      <w:r>
        <w:t xml:space="preserve"> </w:t>
      </w:r>
      <w:proofErr w:type="gramStart"/>
      <w:r>
        <w:t>Future change in anthropogenic edge (</w:t>
      </w:r>
      <w:r>
        <w:rPr>
          <w:lang w:val="en-US"/>
        </w:rPr>
        <w:t>km/km</w:t>
      </w:r>
      <w:r w:rsidRPr="00DE6870">
        <w:rPr>
          <w:vertAlign w:val="superscript"/>
          <w:lang w:val="en-US"/>
        </w:rPr>
        <w:t>2</w:t>
      </w:r>
      <w:r>
        <w:t>) on CLFN SA.</w:t>
      </w:r>
      <w:bookmarkEnd w:id="449"/>
      <w:bookmarkEnd w:id="450"/>
      <w:proofErr w:type="gramEnd"/>
    </w:p>
    <w:p w:rsidR="00894004" w:rsidRDefault="00894004" w:rsidP="00894004">
      <w:pPr>
        <w:rPr>
          <w:lang w:eastAsia="en-CA"/>
        </w:rPr>
      </w:pPr>
    </w:p>
    <w:p w:rsidR="00894004" w:rsidRDefault="00F00560" w:rsidP="00894004">
      <w:pPr>
        <w:keepNext/>
      </w:pPr>
      <w:r>
        <w:rPr>
          <w:noProof/>
          <w:lang w:val="en-US"/>
        </w:rPr>
        <w:lastRenderedPageBreak/>
        <w:drawing>
          <wp:inline distT="0" distB="0" distL="0" distR="0">
            <wp:extent cx="5557087" cy="3600000"/>
            <wp:effectExtent l="19050" t="19050" r="24563" b="19500"/>
            <wp:docPr id="766" name="Picture 5" descr="Z:\Clients and Initiatives\Cold Lake First Nations\Maps and GIS\Maps with reserves shown in blue\CLFN Mapper % Anth NO RECLAMATION 1910-2010 Formal Map May 29-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Clients and Initiatives\Cold Lake First Nations\Maps and GIS\Maps with reserves shown in blue\CLFN Mapper % Anth NO RECLAMATION 1910-2010 Formal Map May 29-2012.png"/>
                    <pic:cNvPicPr>
                      <a:picLocks noChangeAspect="1" noChangeArrowheads="1"/>
                    </pic:cNvPicPr>
                  </pic:nvPicPr>
                  <pic:blipFill>
                    <a:blip r:embed="rId171" cstate="print"/>
                    <a:srcRect/>
                    <a:stretch>
                      <a:fillRect/>
                    </a:stretch>
                  </pic:blipFill>
                  <pic:spPr bwMode="auto">
                    <a:xfrm>
                      <a:off x="0" y="0"/>
                      <a:ext cx="5557087"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51" w:name="_Ref326270815"/>
      <w:bookmarkStart w:id="452" w:name="_Toc326233056"/>
      <w:bookmarkStart w:id="453" w:name="_Toc338703934"/>
      <w:proofErr w:type="gramStart"/>
      <w:r>
        <w:t xml:space="preserve">Figure </w:t>
      </w:r>
      <w:fldSimple w:instr=" SEQ Figure \* ARABIC ">
        <w:r w:rsidR="00A02D22">
          <w:rPr>
            <w:noProof/>
          </w:rPr>
          <w:t>155</w:t>
        </w:r>
      </w:fldSimple>
      <w:bookmarkEnd w:id="451"/>
      <w:r>
        <w:t>.</w:t>
      </w:r>
      <w:proofErr w:type="gramEnd"/>
      <w:r>
        <w:t xml:space="preserve"> Historical change in footprint area (%) in CLFN SA with reclamation rates set at 0.</w:t>
      </w:r>
      <w:bookmarkEnd w:id="452"/>
      <w:bookmarkEnd w:id="453"/>
    </w:p>
    <w:p w:rsidR="00894004" w:rsidRPr="00770F4F" w:rsidRDefault="00894004" w:rsidP="00894004">
      <w:pPr>
        <w:rPr>
          <w:lang w:eastAsia="en-CA"/>
        </w:rPr>
      </w:pPr>
    </w:p>
    <w:p w:rsidR="00894004" w:rsidRDefault="00F00560" w:rsidP="00894004">
      <w:pPr>
        <w:keepNext/>
      </w:pPr>
      <w:r>
        <w:rPr>
          <w:noProof/>
          <w:lang w:val="en-US"/>
        </w:rPr>
        <w:drawing>
          <wp:inline distT="0" distB="0" distL="0" distR="0">
            <wp:extent cx="5557087" cy="3600000"/>
            <wp:effectExtent l="19050" t="19050" r="24563" b="19500"/>
            <wp:docPr id="33" name="Picture 6" descr="Z:\Clients and Initiatives\Cold Lake First Nations\Maps and GIS\Maps with reserves shown in blue\CLFN Mapper % Anth NO RECLAMATION 2010-2210 Formal Map May 29-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Clients and Initiatives\Cold Lake First Nations\Maps and GIS\Maps with reserves shown in blue\CLFN Mapper % Anth NO RECLAMATION 2010-2210 Formal Map May 29-2012.png"/>
                    <pic:cNvPicPr>
                      <a:picLocks noChangeAspect="1" noChangeArrowheads="1"/>
                    </pic:cNvPicPr>
                  </pic:nvPicPr>
                  <pic:blipFill>
                    <a:blip r:embed="rId175" cstate="print"/>
                    <a:srcRect/>
                    <a:stretch>
                      <a:fillRect/>
                    </a:stretch>
                  </pic:blipFill>
                  <pic:spPr bwMode="auto">
                    <a:xfrm>
                      <a:off x="0" y="0"/>
                      <a:ext cx="5557087"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54" w:name="_Ref326270816"/>
      <w:bookmarkStart w:id="455" w:name="_Toc326233057"/>
      <w:bookmarkStart w:id="456" w:name="_Toc338703935"/>
      <w:proofErr w:type="gramStart"/>
      <w:r>
        <w:t xml:space="preserve">Figure </w:t>
      </w:r>
      <w:fldSimple w:instr=" SEQ Figure \* ARABIC ">
        <w:r w:rsidR="00A02D22">
          <w:rPr>
            <w:noProof/>
          </w:rPr>
          <w:t>156</w:t>
        </w:r>
      </w:fldSimple>
      <w:bookmarkEnd w:id="454"/>
      <w:r>
        <w:t>.</w:t>
      </w:r>
      <w:proofErr w:type="gramEnd"/>
      <w:r>
        <w:t xml:space="preserve"> </w:t>
      </w:r>
      <w:proofErr w:type="gramStart"/>
      <w:r>
        <w:t xml:space="preserve">Simulated future change in </w:t>
      </w:r>
      <w:r w:rsidR="00C544DE">
        <w:t>land-use</w:t>
      </w:r>
      <w:r>
        <w:t xml:space="preserve"> footprint area (%) in CLFN SA if reclamation rates are set at 0.</w:t>
      </w:r>
      <w:bookmarkEnd w:id="455"/>
      <w:bookmarkEnd w:id="456"/>
      <w:proofErr w:type="gramEnd"/>
    </w:p>
    <w:p w:rsidR="00894004" w:rsidRDefault="00894004" w:rsidP="00894004">
      <w:pPr>
        <w:rPr>
          <w:lang w:eastAsia="en-CA"/>
        </w:rPr>
      </w:pPr>
    </w:p>
    <w:p w:rsidR="00894004" w:rsidRDefault="00F00560" w:rsidP="00894004">
      <w:pPr>
        <w:keepNext/>
      </w:pPr>
      <w:r>
        <w:rPr>
          <w:noProof/>
          <w:lang w:val="en-US"/>
        </w:rPr>
        <w:lastRenderedPageBreak/>
        <w:drawing>
          <wp:inline distT="0" distB="0" distL="0" distR="0">
            <wp:extent cx="5715000" cy="3697941"/>
            <wp:effectExtent l="19050" t="19050" r="19050" b="16809"/>
            <wp:docPr id="34" name="Picture 7" descr="Z:\Clients and Initiatives\Cold Lake First Nations\Maps and GIS\Maps with reserves shown in blue\CLFN Mapper Edge NO RECLAMATION 1910-2010 Formal Map May 29-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Clients and Initiatives\Cold Lake First Nations\Maps and GIS\Maps with reserves shown in blue\CLFN Mapper Edge NO RECLAMATION 1910-2010 Formal Map May 29-2012.png"/>
                    <pic:cNvPicPr>
                      <a:picLocks noChangeAspect="1" noChangeArrowheads="1"/>
                    </pic:cNvPicPr>
                  </pic:nvPicPr>
                  <pic:blipFill>
                    <a:blip r:embed="rId176" cstate="print"/>
                    <a:srcRect/>
                    <a:stretch>
                      <a:fillRect/>
                    </a:stretch>
                  </pic:blipFill>
                  <pic:spPr bwMode="auto">
                    <a:xfrm>
                      <a:off x="0" y="0"/>
                      <a:ext cx="5715000" cy="3697941"/>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57" w:name="_Ref326270818"/>
      <w:bookmarkStart w:id="458" w:name="_Toc326233058"/>
      <w:bookmarkStart w:id="459" w:name="_Toc338703936"/>
      <w:proofErr w:type="gramStart"/>
      <w:r>
        <w:t xml:space="preserve">Figure </w:t>
      </w:r>
      <w:fldSimple w:instr=" SEQ Figure \* ARABIC ">
        <w:r w:rsidR="00A02D22">
          <w:rPr>
            <w:noProof/>
          </w:rPr>
          <w:t>157</w:t>
        </w:r>
      </w:fldSimple>
      <w:bookmarkEnd w:id="457"/>
      <w:r>
        <w:t>.</w:t>
      </w:r>
      <w:proofErr w:type="gramEnd"/>
      <w:r>
        <w:t xml:space="preserve"> </w:t>
      </w:r>
      <w:proofErr w:type="gramStart"/>
      <w:r>
        <w:t>Historical change in anthropogenic edge (km/km</w:t>
      </w:r>
      <w:r w:rsidR="005F50D5" w:rsidRPr="00DE6870">
        <w:rPr>
          <w:vertAlign w:val="superscript"/>
          <w:lang w:val="en-US"/>
        </w:rPr>
        <w:t>2</w:t>
      </w:r>
      <w:r>
        <w:t>) in CLFN SA without reclamation.</w:t>
      </w:r>
      <w:bookmarkEnd w:id="458"/>
      <w:bookmarkEnd w:id="459"/>
      <w:proofErr w:type="gramEnd"/>
    </w:p>
    <w:p w:rsidR="00894004" w:rsidRPr="00770F4F" w:rsidRDefault="00894004" w:rsidP="00894004">
      <w:pPr>
        <w:rPr>
          <w:lang w:eastAsia="en-CA"/>
        </w:rPr>
      </w:pPr>
    </w:p>
    <w:p w:rsidR="00894004" w:rsidRDefault="00F00560" w:rsidP="00894004">
      <w:pPr>
        <w:keepNext/>
      </w:pPr>
      <w:r>
        <w:rPr>
          <w:noProof/>
          <w:lang w:val="en-US"/>
        </w:rPr>
        <w:drawing>
          <wp:inline distT="0" distB="0" distL="0" distR="0">
            <wp:extent cx="5715000" cy="3697941"/>
            <wp:effectExtent l="19050" t="19050" r="19050" b="16809"/>
            <wp:docPr id="56" name="Picture 8" descr="Z:\Clients and Initiatives\Cold Lake First Nations\Maps and GIS\Maps with reserves shown in blue\CLFN Mapper Edge NO RECLAMATION 2010-2210 Formal Map May 29-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Clients and Initiatives\Cold Lake First Nations\Maps and GIS\Maps with reserves shown in blue\CLFN Mapper Edge NO RECLAMATION 2010-2210 Formal Map May 29-2012.png"/>
                    <pic:cNvPicPr>
                      <a:picLocks noChangeAspect="1" noChangeArrowheads="1"/>
                    </pic:cNvPicPr>
                  </pic:nvPicPr>
                  <pic:blipFill>
                    <a:blip r:embed="rId177" cstate="print"/>
                    <a:srcRect/>
                    <a:stretch>
                      <a:fillRect/>
                    </a:stretch>
                  </pic:blipFill>
                  <pic:spPr bwMode="auto">
                    <a:xfrm>
                      <a:off x="0" y="0"/>
                      <a:ext cx="5715000" cy="3697941"/>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60" w:name="_Ref326270820"/>
      <w:bookmarkStart w:id="461" w:name="_Toc326233059"/>
      <w:bookmarkStart w:id="462" w:name="_Toc338703937"/>
      <w:proofErr w:type="gramStart"/>
      <w:r>
        <w:t xml:space="preserve">Figure </w:t>
      </w:r>
      <w:fldSimple w:instr=" SEQ Figure \* ARABIC ">
        <w:r w:rsidR="00A02D22">
          <w:rPr>
            <w:noProof/>
          </w:rPr>
          <w:t>158</w:t>
        </w:r>
      </w:fldSimple>
      <w:bookmarkEnd w:id="460"/>
      <w:r>
        <w:t>.</w:t>
      </w:r>
      <w:proofErr w:type="gramEnd"/>
      <w:r>
        <w:t xml:space="preserve"> </w:t>
      </w:r>
      <w:proofErr w:type="gramStart"/>
      <w:r>
        <w:t>Simulated future change in anthropogenic edge (km/km</w:t>
      </w:r>
      <w:r w:rsidR="005F50D5" w:rsidRPr="00DE6870">
        <w:rPr>
          <w:vertAlign w:val="superscript"/>
          <w:lang w:val="en-US"/>
        </w:rPr>
        <w:t>2</w:t>
      </w:r>
      <w:r>
        <w:t>) in CLFN SA without reclamation.</w:t>
      </w:r>
      <w:bookmarkEnd w:id="461"/>
      <w:bookmarkEnd w:id="462"/>
      <w:proofErr w:type="gramEnd"/>
    </w:p>
    <w:p w:rsidR="001E6C7F" w:rsidRPr="001E6C7F" w:rsidRDefault="001E6C7F" w:rsidP="001E6C7F">
      <w:pPr>
        <w:rPr>
          <w:lang w:eastAsia="en-CA"/>
        </w:rPr>
      </w:pPr>
    </w:p>
    <w:p w:rsidR="00894004" w:rsidRDefault="00894004" w:rsidP="00894004">
      <w:pPr>
        <w:pStyle w:val="Heading3"/>
        <w:rPr>
          <w:lang w:eastAsia="en-CA"/>
        </w:rPr>
      </w:pPr>
      <w:bookmarkStart w:id="463" w:name="_Toc326233167"/>
      <w:bookmarkStart w:id="464" w:name="_Toc338703746"/>
      <w:r>
        <w:rPr>
          <w:lang w:eastAsia="en-CA"/>
        </w:rPr>
        <w:lastRenderedPageBreak/>
        <w:t>Water Quality</w:t>
      </w:r>
      <w:bookmarkEnd w:id="463"/>
      <w:bookmarkEnd w:id="464"/>
    </w:p>
    <w:p w:rsidR="00894004" w:rsidRDefault="00894004" w:rsidP="00894004">
      <w:pPr>
        <w:pStyle w:val="BodyText"/>
        <w:rPr>
          <w:lang w:val="en-US" w:eastAsia="en-CA"/>
        </w:rPr>
      </w:pPr>
      <w:r>
        <w:rPr>
          <w:lang w:val="en-US" w:eastAsia="en-CA"/>
        </w:rPr>
        <w:t>The index of water quality used in these analyses is based on change in the runoff rates of nitrogen, phosphorus and sediment relative to RNV (range of natural variability)</w:t>
      </w:r>
      <w:r w:rsidR="006642F7">
        <w:rPr>
          <w:lang w:val="en-US" w:eastAsia="en-CA"/>
        </w:rPr>
        <w:t xml:space="preserve"> levels</w:t>
      </w:r>
      <w:r>
        <w:rPr>
          <w:lang w:val="en-US" w:eastAsia="en-CA"/>
        </w:rPr>
        <w:t xml:space="preserve">.  Since the water quality index represents an inverse reciprocal of nutrient and sediment loading, lower values reflect increasing levels of nutrient loading. This methodology for computing relative water quality index is the same one adopted by the Cumulative Environmental Management Association (CEMA) and the Alberta </w:t>
      </w:r>
      <w:r w:rsidR="00C544DE">
        <w:rPr>
          <w:lang w:val="en-US" w:eastAsia="en-CA"/>
        </w:rPr>
        <w:t>Land-use</w:t>
      </w:r>
      <w:r>
        <w:rPr>
          <w:lang w:val="en-US" w:eastAsia="en-CA"/>
        </w:rPr>
        <w:t xml:space="preserve"> Framework when using the ALCES simulator.</w:t>
      </w:r>
    </w:p>
    <w:p w:rsidR="006642F7" w:rsidRDefault="00894004" w:rsidP="00894004">
      <w:pPr>
        <w:pStyle w:val="BodyText"/>
        <w:rPr>
          <w:lang w:val="en-US"/>
        </w:rPr>
      </w:pPr>
      <w:r>
        <w:rPr>
          <w:lang w:val="en-US" w:eastAsia="en-CA"/>
        </w:rPr>
        <w:t>All boreal landscapes have natural runoff of N, P, and sediment, and indeed these elements are required to maintain ecological function of terrestrial and aquatic ecosystems. That said</w:t>
      </w:r>
      <w:proofErr w:type="gramStart"/>
      <w:r>
        <w:rPr>
          <w:lang w:val="en-US" w:eastAsia="en-CA"/>
        </w:rPr>
        <w:t>,</w:t>
      </w:r>
      <w:proofErr w:type="gramEnd"/>
      <w:r>
        <w:rPr>
          <w:lang w:val="en-US" w:eastAsia="en-CA"/>
        </w:rPr>
        <w:t xml:space="preserve"> excessive runoff rates </w:t>
      </w:r>
      <w:r w:rsidR="006642F7">
        <w:rPr>
          <w:lang w:val="en-US" w:eastAsia="en-CA"/>
        </w:rPr>
        <w:t xml:space="preserve">associated with a suite of </w:t>
      </w:r>
      <w:r w:rsidR="00C544DE">
        <w:rPr>
          <w:lang w:val="en-US" w:eastAsia="en-CA"/>
        </w:rPr>
        <w:t>land-use</w:t>
      </w:r>
      <w:r w:rsidR="006642F7">
        <w:rPr>
          <w:lang w:val="en-US" w:eastAsia="en-CA"/>
        </w:rPr>
        <w:t>s (</w:t>
      </w:r>
      <w:r w:rsidR="00575CA7">
        <w:rPr>
          <w:lang w:val="en-US" w:eastAsia="en-CA"/>
        </w:rPr>
        <w:fldChar w:fldCharType="begin"/>
      </w:r>
      <w:r w:rsidR="006642F7">
        <w:rPr>
          <w:lang w:val="en-US" w:eastAsia="en-CA"/>
        </w:rPr>
        <w:instrText xml:space="preserve"> REF _Ref326320004 \h </w:instrText>
      </w:r>
      <w:r w:rsidR="00575CA7">
        <w:rPr>
          <w:lang w:val="en-US" w:eastAsia="en-CA"/>
        </w:rPr>
      </w:r>
      <w:r w:rsidR="00575CA7">
        <w:rPr>
          <w:lang w:val="en-US" w:eastAsia="en-CA"/>
        </w:rPr>
        <w:fldChar w:fldCharType="separate"/>
      </w:r>
      <w:r w:rsidR="003648B8">
        <w:t xml:space="preserve">Figure </w:t>
      </w:r>
      <w:r w:rsidR="003648B8">
        <w:rPr>
          <w:noProof/>
        </w:rPr>
        <w:t>159</w:t>
      </w:r>
      <w:r w:rsidR="00575CA7">
        <w:rPr>
          <w:lang w:val="en-US" w:eastAsia="en-CA"/>
        </w:rPr>
        <w:fldChar w:fldCharType="end"/>
      </w:r>
      <w:r w:rsidR="006642F7">
        <w:rPr>
          <w:lang w:val="en-US" w:eastAsia="en-CA"/>
        </w:rPr>
        <w:t xml:space="preserve">) </w:t>
      </w:r>
      <w:r>
        <w:rPr>
          <w:lang w:val="en-US" w:eastAsia="en-CA"/>
        </w:rPr>
        <w:t>can have a significant and adverse effect on ecosystems through the process of eutrophication and by altering the structure</w:t>
      </w:r>
      <w:r w:rsidR="000F5BFB">
        <w:rPr>
          <w:lang w:val="en-US" w:eastAsia="en-CA"/>
        </w:rPr>
        <w:t xml:space="preserve"> of</w:t>
      </w:r>
      <w:r>
        <w:rPr>
          <w:lang w:val="en-US" w:eastAsia="en-CA"/>
        </w:rPr>
        <w:t xml:space="preserve"> lentic and lotic substrates.</w:t>
      </w:r>
    </w:p>
    <w:p w:rsidR="00894004" w:rsidRDefault="00894004" w:rsidP="00894004">
      <w:pPr>
        <w:pStyle w:val="BodyText"/>
        <w:rPr>
          <w:lang w:val="en-US" w:eastAsia="en-CA"/>
        </w:rPr>
      </w:pPr>
      <w:r>
        <w:rPr>
          <w:lang w:val="en-US" w:eastAsia="en-CA"/>
        </w:rPr>
        <w:t>Simulation results of CLFN SA indicate a significant decline in the relative index of water quality during the past 100 years (</w:t>
      </w:r>
      <w:r w:rsidR="00575CA7">
        <w:rPr>
          <w:lang w:val="en-US" w:eastAsia="en-CA"/>
        </w:rPr>
        <w:fldChar w:fldCharType="begin"/>
      </w:r>
      <w:r w:rsidR="006642F7">
        <w:rPr>
          <w:lang w:val="en-US" w:eastAsia="en-CA"/>
        </w:rPr>
        <w:instrText xml:space="preserve"> REF _Ref326320022 \h </w:instrText>
      </w:r>
      <w:r w:rsidR="00575CA7">
        <w:rPr>
          <w:lang w:val="en-US" w:eastAsia="en-CA"/>
        </w:rPr>
      </w:r>
      <w:r w:rsidR="00575CA7">
        <w:rPr>
          <w:lang w:val="en-US" w:eastAsia="en-CA"/>
        </w:rPr>
        <w:fldChar w:fldCharType="separate"/>
      </w:r>
      <w:r w:rsidR="003648B8">
        <w:t xml:space="preserve">Figure </w:t>
      </w:r>
      <w:r w:rsidR="003648B8">
        <w:rPr>
          <w:noProof/>
        </w:rPr>
        <w:t>160</w:t>
      </w:r>
      <w:r w:rsidR="00575CA7">
        <w:rPr>
          <w:lang w:val="en-US" w:eastAsia="en-CA"/>
        </w:rPr>
        <w:fldChar w:fldCharType="end"/>
      </w:r>
      <w:r>
        <w:rPr>
          <w:lang w:val="en-US" w:eastAsia="en-CA"/>
        </w:rPr>
        <w:t xml:space="preserve">). The greatest </w:t>
      </w:r>
      <w:r w:rsidR="006642F7">
        <w:rPr>
          <w:lang w:val="en-US" w:eastAsia="en-CA"/>
        </w:rPr>
        <w:t xml:space="preserve">historical </w:t>
      </w:r>
      <w:r>
        <w:rPr>
          <w:lang w:val="en-US" w:eastAsia="en-CA"/>
        </w:rPr>
        <w:t>contributor to increased loading is the nutrient and sediment runoff associated with croplands (</w:t>
      </w:r>
      <w:r w:rsidR="00575CA7">
        <w:rPr>
          <w:lang w:val="en-US" w:eastAsia="en-CA"/>
        </w:rPr>
        <w:fldChar w:fldCharType="begin"/>
      </w:r>
      <w:r w:rsidR="003B6796">
        <w:rPr>
          <w:lang w:val="en-US" w:eastAsia="en-CA"/>
        </w:rPr>
        <w:instrText xml:space="preserve"> REF _Ref326320048 \h </w:instrText>
      </w:r>
      <w:r w:rsidR="00575CA7">
        <w:rPr>
          <w:lang w:val="en-US" w:eastAsia="en-CA"/>
        </w:rPr>
      </w:r>
      <w:r w:rsidR="00575CA7">
        <w:rPr>
          <w:lang w:val="en-US" w:eastAsia="en-CA"/>
        </w:rPr>
        <w:fldChar w:fldCharType="separate"/>
      </w:r>
      <w:r w:rsidR="003648B8">
        <w:t xml:space="preserve">Figure </w:t>
      </w:r>
      <w:r w:rsidR="003648B8">
        <w:rPr>
          <w:noProof/>
        </w:rPr>
        <w:t>161</w:t>
      </w:r>
      <w:r w:rsidR="00575CA7">
        <w:rPr>
          <w:lang w:val="en-US" w:eastAsia="en-CA"/>
        </w:rPr>
        <w:fldChar w:fldCharType="end"/>
      </w:r>
      <w:r>
        <w:rPr>
          <w:lang w:val="en-US" w:eastAsia="en-CA"/>
        </w:rPr>
        <w:t>). To a lesser degree, increasing loading in the non-agricultural regions were associated with energy sector footprints (seismic lines, wellsites, pipelines, processing plants) and the transportation networks that lead to wellpads and rural residential.</w:t>
      </w:r>
    </w:p>
    <w:p w:rsidR="00894004" w:rsidRDefault="00894004" w:rsidP="00894004">
      <w:pPr>
        <w:pStyle w:val="BodyText"/>
        <w:rPr>
          <w:lang w:val="en-US" w:eastAsia="en-CA"/>
        </w:rPr>
      </w:pPr>
      <w:r>
        <w:rPr>
          <w:lang w:val="en-US" w:eastAsia="en-CA"/>
        </w:rPr>
        <w:t>The water quality of CLFN SA is projected to worsen in upcoming decades (</w:t>
      </w:r>
      <w:r w:rsidR="00575CA7">
        <w:rPr>
          <w:highlight w:val="yellow"/>
          <w:lang w:val="en-US" w:eastAsia="en-CA"/>
        </w:rPr>
        <w:fldChar w:fldCharType="begin"/>
      </w:r>
      <w:r w:rsidR="006642F7">
        <w:rPr>
          <w:lang w:val="en-US" w:eastAsia="en-CA"/>
        </w:rPr>
        <w:instrText xml:space="preserve"> REF _Ref326320110 \h </w:instrText>
      </w:r>
      <w:r w:rsidR="00575CA7">
        <w:rPr>
          <w:highlight w:val="yellow"/>
          <w:lang w:val="en-US" w:eastAsia="en-CA"/>
        </w:rPr>
      </w:r>
      <w:r w:rsidR="00575CA7">
        <w:rPr>
          <w:highlight w:val="yellow"/>
          <w:lang w:val="en-US" w:eastAsia="en-CA"/>
        </w:rPr>
        <w:fldChar w:fldCharType="separate"/>
      </w:r>
      <w:r w:rsidR="003648B8">
        <w:t xml:space="preserve">Figure </w:t>
      </w:r>
      <w:r w:rsidR="003648B8">
        <w:rPr>
          <w:noProof/>
        </w:rPr>
        <w:t>162</w:t>
      </w:r>
      <w:r w:rsidR="00575CA7">
        <w:rPr>
          <w:highlight w:val="yellow"/>
          <w:lang w:val="en-US" w:eastAsia="en-CA"/>
        </w:rPr>
        <w:fldChar w:fldCharType="end"/>
      </w:r>
      <w:r>
        <w:rPr>
          <w:lang w:val="en-US" w:eastAsia="en-CA"/>
        </w:rPr>
        <w:t>). This degrading pattern will be caused by multiple factors that include:</w:t>
      </w:r>
    </w:p>
    <w:p w:rsidR="00894004" w:rsidRDefault="00894004" w:rsidP="00894004">
      <w:pPr>
        <w:pStyle w:val="BodyText"/>
        <w:numPr>
          <w:ilvl w:val="0"/>
          <w:numId w:val="31"/>
        </w:numPr>
        <w:rPr>
          <w:lang w:val="en-US" w:eastAsia="en-CA"/>
        </w:rPr>
      </w:pPr>
      <w:r>
        <w:rPr>
          <w:lang w:val="en-US" w:eastAsia="en-CA"/>
        </w:rPr>
        <w:t>Increasing energy sector footprint (seismic lines, wellpads, pipelines, processing plants) that have elevated levels of N, P, and sediment runoff</w:t>
      </w:r>
      <w:r w:rsidR="000F5BFB">
        <w:rPr>
          <w:lang w:val="en-US" w:eastAsia="en-CA"/>
        </w:rPr>
        <w:t>.</w:t>
      </w:r>
    </w:p>
    <w:p w:rsidR="006642F7" w:rsidRDefault="006642F7" w:rsidP="00894004">
      <w:pPr>
        <w:pStyle w:val="BodyText"/>
        <w:numPr>
          <w:ilvl w:val="0"/>
          <w:numId w:val="31"/>
        </w:numPr>
        <w:rPr>
          <w:lang w:val="en-US" w:eastAsia="en-CA"/>
        </w:rPr>
      </w:pPr>
      <w:r>
        <w:rPr>
          <w:lang w:val="en-US" w:eastAsia="en-CA"/>
        </w:rPr>
        <w:t>Continued expansion of the cropland matrix in the White Area on remaining soils of agricultural potential.</w:t>
      </w:r>
    </w:p>
    <w:p w:rsidR="00894004" w:rsidRDefault="00894004" w:rsidP="00894004">
      <w:pPr>
        <w:pStyle w:val="BodyText"/>
        <w:numPr>
          <w:ilvl w:val="0"/>
          <w:numId w:val="31"/>
        </w:numPr>
        <w:rPr>
          <w:lang w:val="en-US" w:eastAsia="en-CA"/>
        </w:rPr>
      </w:pPr>
      <w:r>
        <w:rPr>
          <w:lang w:val="en-US" w:eastAsia="en-CA"/>
        </w:rPr>
        <w:t>An expanding rural residential network that includes roads and yards.</w:t>
      </w:r>
    </w:p>
    <w:p w:rsidR="00894004" w:rsidRPr="00050F5F" w:rsidRDefault="00894004" w:rsidP="00894004">
      <w:pPr>
        <w:pStyle w:val="BodyText"/>
        <w:ind w:left="720"/>
        <w:rPr>
          <w:lang w:val="en-US" w:eastAsia="en-CA"/>
        </w:rPr>
      </w:pPr>
    </w:p>
    <w:p w:rsidR="00894004" w:rsidRDefault="00894004" w:rsidP="00894004">
      <w:pPr>
        <w:spacing w:after="200" w:line="276" w:lineRule="auto"/>
      </w:pPr>
      <w:r>
        <w:br w:type="page"/>
      </w:r>
    </w:p>
    <w:p w:rsidR="00894004" w:rsidRDefault="00894004" w:rsidP="00894004">
      <w:pPr>
        <w:keepNext/>
      </w:pPr>
      <w:r>
        <w:rPr>
          <w:noProof/>
          <w:lang w:val="en-US"/>
        </w:rPr>
        <w:lastRenderedPageBreak/>
        <w:drawing>
          <wp:inline distT="0" distB="0" distL="0" distR="0">
            <wp:extent cx="4774981" cy="3600000"/>
            <wp:effectExtent l="19050" t="19050" r="25619" b="19500"/>
            <wp:docPr id="8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8" cstate="print"/>
                    <a:srcRect/>
                    <a:stretch>
                      <a:fillRect/>
                    </a:stretch>
                  </pic:blipFill>
                  <pic:spPr bwMode="auto">
                    <a:xfrm>
                      <a:off x="0" y="0"/>
                      <a:ext cx="4774981"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65" w:name="_Ref326320004"/>
      <w:bookmarkStart w:id="466" w:name="_Toc326233060"/>
      <w:bookmarkStart w:id="467" w:name="_Toc338703938"/>
      <w:proofErr w:type="gramStart"/>
      <w:r>
        <w:t xml:space="preserve">Figure </w:t>
      </w:r>
      <w:fldSimple w:instr=" SEQ Figure \* ARABIC ">
        <w:r w:rsidR="00A02D22">
          <w:rPr>
            <w:noProof/>
          </w:rPr>
          <w:t>159</w:t>
        </w:r>
      </w:fldSimple>
      <w:bookmarkEnd w:id="465"/>
      <w:r w:rsidR="009D22E2">
        <w:t>.</w:t>
      </w:r>
      <w:proofErr w:type="gramEnd"/>
      <w:r w:rsidR="009D22E2">
        <w:t xml:space="preserve"> </w:t>
      </w:r>
      <w:proofErr w:type="gramStart"/>
      <w:r w:rsidR="009D22E2">
        <w:t>Diagram of r</w:t>
      </w:r>
      <w:r>
        <w:t>elati</w:t>
      </w:r>
      <w:r w:rsidR="009D22E2">
        <w:t xml:space="preserve">ve water quality index used in </w:t>
      </w:r>
      <w:r w:rsidR="008C753A">
        <w:t xml:space="preserve">the CLFN </w:t>
      </w:r>
      <w:r w:rsidR="009D22E2">
        <w:t>ALCES</w:t>
      </w:r>
      <w:r w:rsidR="008C753A">
        <w:t xml:space="preserve"> model</w:t>
      </w:r>
      <w:r>
        <w:t>.</w:t>
      </w:r>
      <w:bookmarkEnd w:id="466"/>
      <w:bookmarkEnd w:id="467"/>
      <w:proofErr w:type="gramEnd"/>
    </w:p>
    <w:p w:rsidR="004E31FB" w:rsidRPr="004E31FB" w:rsidRDefault="004E31FB" w:rsidP="004E31FB">
      <w:pPr>
        <w:rPr>
          <w:lang w:eastAsia="en-CA"/>
        </w:rPr>
      </w:pPr>
    </w:p>
    <w:p w:rsidR="00894004" w:rsidRDefault="00894004" w:rsidP="00894004">
      <w:pPr>
        <w:keepNext/>
      </w:pPr>
      <w:r>
        <w:rPr>
          <w:noProof/>
          <w:lang w:val="en-US"/>
        </w:rPr>
        <w:drawing>
          <wp:inline distT="0" distB="0" distL="0" distR="0">
            <wp:extent cx="4724755" cy="3600000"/>
            <wp:effectExtent l="19050" t="19050" r="18695" b="19500"/>
            <wp:docPr id="8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9" cstate="print"/>
                    <a:srcRect/>
                    <a:stretch>
                      <a:fillRect/>
                    </a:stretch>
                  </pic:blipFill>
                  <pic:spPr bwMode="auto">
                    <a:xfrm>
                      <a:off x="0" y="0"/>
                      <a:ext cx="4724755"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68" w:name="_Ref326320022"/>
      <w:bookmarkStart w:id="469" w:name="_Toc326233061"/>
      <w:bookmarkStart w:id="470" w:name="_Toc338703939"/>
      <w:proofErr w:type="gramStart"/>
      <w:r>
        <w:t xml:space="preserve">Figure </w:t>
      </w:r>
      <w:fldSimple w:instr=" SEQ Figure \* ARABIC ">
        <w:r w:rsidR="00A02D22">
          <w:rPr>
            <w:noProof/>
          </w:rPr>
          <w:t>160</w:t>
        </w:r>
      </w:fldSimple>
      <w:bookmarkEnd w:id="468"/>
      <w:r>
        <w:t>.</w:t>
      </w:r>
      <w:proofErr w:type="gramEnd"/>
      <w:r>
        <w:t xml:space="preserve"> </w:t>
      </w:r>
      <w:r w:rsidR="008C753A">
        <w:t>Historical, current and future c</w:t>
      </w:r>
      <w:r>
        <w:t>hanges in relative water quality in CLFN SA.</w:t>
      </w:r>
      <w:bookmarkEnd w:id="470"/>
      <w:r>
        <w:t xml:space="preserve"> </w:t>
      </w:r>
      <w:bookmarkEnd w:id="469"/>
    </w:p>
    <w:p w:rsidR="00894004" w:rsidRPr="00986C91" w:rsidRDefault="00894004" w:rsidP="00894004">
      <w:pPr>
        <w:rPr>
          <w:lang w:eastAsia="en-CA"/>
        </w:rPr>
      </w:pPr>
    </w:p>
    <w:p w:rsidR="00894004" w:rsidRDefault="00894004" w:rsidP="00894004">
      <w:pPr>
        <w:spacing w:after="200" w:line="276" w:lineRule="auto"/>
      </w:pPr>
      <w:r>
        <w:br w:type="page"/>
      </w:r>
    </w:p>
    <w:p w:rsidR="00894004" w:rsidRDefault="00894004" w:rsidP="00894004">
      <w:pPr>
        <w:pStyle w:val="BodyText"/>
        <w:keepNext/>
        <w:spacing w:after="0"/>
      </w:pPr>
      <w:r>
        <w:rPr>
          <w:noProof/>
          <w:lang w:val="en-US"/>
        </w:rPr>
        <w:lastRenderedPageBreak/>
        <w:drawing>
          <wp:inline distT="0" distB="0" distL="0" distR="0">
            <wp:extent cx="5558369" cy="3600000"/>
            <wp:effectExtent l="19050" t="19050" r="23281" b="19500"/>
            <wp:docPr id="809" name="Picture 19" descr="C:\Documents and Settings\Brad\Local Settings\Temporary Internet Files\Content.Outlook\Z9YTZ38U\CLFN Mapper WATERINDEX 1910-2010 Formal Map May 29-2012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Brad\Local Settings\Temporary Internet Files\Content.Outlook\Z9YTZ38U\CLFN Mapper WATERINDEX 1910-2010 Formal Map May 29-2012 (3).png"/>
                    <pic:cNvPicPr>
                      <a:picLocks noChangeAspect="1" noChangeArrowheads="1"/>
                    </pic:cNvPicPr>
                  </pic:nvPicPr>
                  <pic:blipFill>
                    <a:blip r:embed="rId180" cstate="print"/>
                    <a:srcRect/>
                    <a:stretch>
                      <a:fillRect/>
                    </a:stretch>
                  </pic:blipFill>
                  <pic:spPr bwMode="auto">
                    <a:xfrm>
                      <a:off x="0" y="0"/>
                      <a:ext cx="5558369"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71" w:name="_Ref326320048"/>
      <w:bookmarkStart w:id="472" w:name="_Toc326233062"/>
      <w:bookmarkStart w:id="473" w:name="_Toc338703940"/>
      <w:proofErr w:type="gramStart"/>
      <w:r>
        <w:t xml:space="preserve">Figure </w:t>
      </w:r>
      <w:fldSimple w:instr=" SEQ Figure \* ARABIC ">
        <w:r w:rsidR="00A02D22">
          <w:rPr>
            <w:noProof/>
          </w:rPr>
          <w:t>161</w:t>
        </w:r>
      </w:fldSimple>
      <w:bookmarkEnd w:id="471"/>
      <w:r>
        <w:t>.</w:t>
      </w:r>
      <w:proofErr w:type="gramEnd"/>
      <w:r>
        <w:t xml:space="preserve"> Historical changes in relative water quality index in CLFN SA</w:t>
      </w:r>
      <w:bookmarkEnd w:id="472"/>
      <w:r w:rsidR="006642F7">
        <w:t>.</w:t>
      </w:r>
      <w:bookmarkEnd w:id="473"/>
    </w:p>
    <w:p w:rsidR="006642F7" w:rsidRPr="006642F7" w:rsidRDefault="006642F7" w:rsidP="006642F7">
      <w:pPr>
        <w:rPr>
          <w:lang w:eastAsia="en-CA"/>
        </w:rPr>
      </w:pPr>
    </w:p>
    <w:p w:rsidR="00894004" w:rsidRDefault="00894004" w:rsidP="00894004">
      <w:pPr>
        <w:pStyle w:val="BodyText"/>
        <w:keepNext/>
        <w:spacing w:after="0"/>
      </w:pPr>
      <w:r>
        <w:rPr>
          <w:noProof/>
          <w:lang w:val="en-US"/>
        </w:rPr>
        <w:drawing>
          <wp:inline distT="0" distB="0" distL="0" distR="0">
            <wp:extent cx="5486400" cy="3550024"/>
            <wp:effectExtent l="19050" t="19050" r="19050" b="12326"/>
            <wp:docPr id="811" name="Picture 20" descr="C:\Documents and Settings\Brad\Local Settings\Temporary Internet Files\Content.Outlook\Z9YTZ38U\CLFN Mapper WATERINDEX 2010-2210 Formal Map May 29-2012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Brad\Local Settings\Temporary Internet Files\Content.Outlook\Z9YTZ38U\CLFN Mapper WATERINDEX 2010-2210 Formal Map May 29-2012 (3).png"/>
                    <pic:cNvPicPr>
                      <a:picLocks noChangeAspect="1" noChangeArrowheads="1"/>
                    </pic:cNvPicPr>
                  </pic:nvPicPr>
                  <pic:blipFill>
                    <a:blip r:embed="rId181" cstate="print"/>
                    <a:srcRect/>
                    <a:stretch>
                      <a:fillRect/>
                    </a:stretch>
                  </pic:blipFill>
                  <pic:spPr bwMode="auto">
                    <a:xfrm>
                      <a:off x="0" y="0"/>
                      <a:ext cx="5486400" cy="3550024"/>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74" w:name="_Ref326320110"/>
      <w:bookmarkStart w:id="475" w:name="_Toc326233063"/>
      <w:bookmarkStart w:id="476" w:name="_Toc338703941"/>
      <w:proofErr w:type="gramStart"/>
      <w:r>
        <w:t xml:space="preserve">Figure </w:t>
      </w:r>
      <w:fldSimple w:instr=" SEQ Figure \* ARABIC ">
        <w:r w:rsidR="00A02D22">
          <w:rPr>
            <w:noProof/>
          </w:rPr>
          <w:t>162</w:t>
        </w:r>
      </w:fldSimple>
      <w:bookmarkEnd w:id="474"/>
      <w:r>
        <w:t>.</w:t>
      </w:r>
      <w:proofErr w:type="gramEnd"/>
      <w:r>
        <w:t xml:space="preserve"> Simulated future changes in future relative water quality index in CLFN SA.</w:t>
      </w:r>
      <w:bookmarkEnd w:id="475"/>
      <w:bookmarkEnd w:id="476"/>
    </w:p>
    <w:p w:rsidR="00894004" w:rsidRPr="00F1410E" w:rsidRDefault="00894004" w:rsidP="00894004">
      <w:pPr>
        <w:rPr>
          <w:lang w:eastAsia="en-CA"/>
        </w:rPr>
      </w:pPr>
    </w:p>
    <w:p w:rsidR="00894004" w:rsidRDefault="00894004" w:rsidP="00894004">
      <w:pPr>
        <w:pStyle w:val="Heading3"/>
      </w:pPr>
      <w:bookmarkStart w:id="477" w:name="_Toc326233168"/>
      <w:bookmarkStart w:id="478" w:name="_Toc338703747"/>
      <w:r>
        <w:lastRenderedPageBreak/>
        <w:t>Forest Demography</w:t>
      </w:r>
      <w:bookmarkEnd w:id="477"/>
      <w:bookmarkEnd w:id="478"/>
    </w:p>
    <w:p w:rsidR="00894004" w:rsidRDefault="00894004" w:rsidP="00894004">
      <w:pPr>
        <w:pStyle w:val="BodyText"/>
        <w:rPr>
          <w:lang w:val="en-US"/>
        </w:rPr>
      </w:pPr>
      <w:r>
        <w:rPr>
          <w:lang w:val="en-US"/>
        </w:rPr>
        <w:t>Forest age is an important element of forest ecosystems and one that explains considerable spatial and temporal variation in the abundance and distribution of many species of biota that prefer (or avoid) old forests.</w:t>
      </w:r>
    </w:p>
    <w:p w:rsidR="00894004" w:rsidRDefault="00894004" w:rsidP="00894004">
      <w:pPr>
        <w:pStyle w:val="BodyText"/>
        <w:rPr>
          <w:lang w:val="en-US"/>
        </w:rPr>
      </w:pPr>
      <w:r>
        <w:rPr>
          <w:lang w:val="en-US"/>
        </w:rPr>
        <w:t>The average age of forests in CLFN SA has a natural variance of 45-105 years (</w:t>
      </w:r>
      <w:r w:rsidR="00575CA7">
        <w:rPr>
          <w:lang w:val="en-US"/>
        </w:rPr>
        <w:fldChar w:fldCharType="begin"/>
      </w:r>
      <w:r w:rsidR="00DD2FA5">
        <w:rPr>
          <w:lang w:val="en-US"/>
        </w:rPr>
        <w:instrText xml:space="preserve"> REF _Ref326271054 \h </w:instrText>
      </w:r>
      <w:r w:rsidR="00575CA7">
        <w:rPr>
          <w:lang w:val="en-US"/>
        </w:rPr>
      </w:r>
      <w:r w:rsidR="00575CA7">
        <w:rPr>
          <w:lang w:val="en-US"/>
        </w:rPr>
        <w:fldChar w:fldCharType="separate"/>
      </w:r>
      <w:r w:rsidR="003648B8">
        <w:t xml:space="preserve">Figure </w:t>
      </w:r>
      <w:r w:rsidR="003648B8">
        <w:rPr>
          <w:noProof/>
        </w:rPr>
        <w:t>163</w:t>
      </w:r>
      <w:r w:rsidR="00575CA7">
        <w:rPr>
          <w:lang w:val="en-US"/>
        </w:rPr>
        <w:fldChar w:fldCharType="end"/>
      </w:r>
      <w:r>
        <w:rPr>
          <w:lang w:val="en-US"/>
        </w:rPr>
        <w:t>), a variation that is caused by the episodic nature of large fire events (</w:t>
      </w:r>
      <w:r w:rsidR="00575CA7">
        <w:rPr>
          <w:lang w:val="en-US"/>
        </w:rPr>
        <w:fldChar w:fldCharType="begin"/>
      </w:r>
      <w:r>
        <w:rPr>
          <w:lang w:val="en-US"/>
        </w:rPr>
        <w:instrText xml:space="preserve"> REF _Ref325446759 \h </w:instrText>
      </w:r>
      <w:r w:rsidR="00575CA7">
        <w:rPr>
          <w:lang w:val="en-US"/>
        </w:rPr>
      </w:r>
      <w:r w:rsidR="00575CA7">
        <w:rPr>
          <w:lang w:val="en-US"/>
        </w:rPr>
        <w:fldChar w:fldCharType="separate"/>
      </w:r>
      <w:r w:rsidR="003648B8">
        <w:t xml:space="preserve">Figure </w:t>
      </w:r>
      <w:r w:rsidR="003648B8">
        <w:rPr>
          <w:noProof/>
        </w:rPr>
        <w:t>14</w:t>
      </w:r>
      <w:r w:rsidR="00575CA7">
        <w:rPr>
          <w:lang w:val="en-US"/>
        </w:rPr>
        <w:fldChar w:fldCharType="end"/>
      </w:r>
      <w:r>
        <w:rPr>
          <w:lang w:val="en-US"/>
        </w:rPr>
        <w:t xml:space="preserve">). Average </w:t>
      </w:r>
      <w:r w:rsidR="006642F7">
        <w:rPr>
          <w:lang w:val="en-US"/>
        </w:rPr>
        <w:t>forest age is projected</w:t>
      </w:r>
      <w:r>
        <w:rPr>
          <w:lang w:val="en-US"/>
        </w:rPr>
        <w:t xml:space="preserve"> to become </w:t>
      </w:r>
      <w:r w:rsidR="006642F7">
        <w:rPr>
          <w:lang w:val="en-US"/>
        </w:rPr>
        <w:t>moderately</w:t>
      </w:r>
      <w:r>
        <w:rPr>
          <w:lang w:val="en-US"/>
        </w:rPr>
        <w:t xml:space="preserve"> younger during the next 100 years, and this shift is caused by the significant amount of young forest created by reclaimi</w:t>
      </w:r>
      <w:r w:rsidR="000F5BFB">
        <w:rPr>
          <w:lang w:val="en-US"/>
        </w:rPr>
        <w:t xml:space="preserve">ng </w:t>
      </w:r>
      <w:r>
        <w:rPr>
          <w:lang w:val="en-US"/>
        </w:rPr>
        <w:t>energy sector</w:t>
      </w:r>
      <w:r w:rsidR="000F5BFB" w:rsidRPr="000F5BFB">
        <w:rPr>
          <w:lang w:val="en-US"/>
        </w:rPr>
        <w:t xml:space="preserve"> </w:t>
      </w:r>
      <w:proofErr w:type="gramStart"/>
      <w:r w:rsidR="000F5BFB">
        <w:rPr>
          <w:lang w:val="en-US"/>
        </w:rPr>
        <w:t xml:space="preserve">footprint </w:t>
      </w:r>
      <w:r>
        <w:rPr>
          <w:lang w:val="en-US"/>
        </w:rPr>
        <w:t>.</w:t>
      </w:r>
      <w:proofErr w:type="gramEnd"/>
    </w:p>
    <w:p w:rsidR="00894004" w:rsidRDefault="00894004" w:rsidP="00894004">
      <w:pPr>
        <w:pStyle w:val="BodyText"/>
        <w:rPr>
          <w:lang w:val="en-US"/>
        </w:rPr>
      </w:pPr>
      <w:r>
        <w:rPr>
          <w:lang w:val="en-US"/>
        </w:rPr>
        <w:t xml:space="preserve">The fraction of the forested portion of CLFN SA that is old (&gt;100 years since last disturbance event) generally </w:t>
      </w:r>
      <w:r w:rsidR="006642F7">
        <w:rPr>
          <w:lang w:val="en-US"/>
        </w:rPr>
        <w:t>ranges</w:t>
      </w:r>
      <w:r>
        <w:rPr>
          <w:lang w:val="en-US"/>
        </w:rPr>
        <w:t xml:space="preserve"> from ~15% to 45%</w:t>
      </w:r>
      <w:r w:rsidR="00DD2FA5">
        <w:rPr>
          <w:lang w:val="en-US"/>
        </w:rPr>
        <w:t xml:space="preserve"> (</w:t>
      </w:r>
      <w:r w:rsidR="00575CA7">
        <w:rPr>
          <w:lang w:val="en-US"/>
        </w:rPr>
        <w:fldChar w:fldCharType="begin"/>
      </w:r>
      <w:r w:rsidR="00DD2FA5">
        <w:rPr>
          <w:lang w:val="en-US"/>
        </w:rPr>
        <w:instrText xml:space="preserve"> REF _Ref326271083 \h </w:instrText>
      </w:r>
      <w:r w:rsidR="00575CA7">
        <w:rPr>
          <w:lang w:val="en-US"/>
        </w:rPr>
      </w:r>
      <w:r w:rsidR="00575CA7">
        <w:rPr>
          <w:lang w:val="en-US"/>
        </w:rPr>
        <w:fldChar w:fldCharType="separate"/>
      </w:r>
      <w:r w:rsidR="003648B8">
        <w:t xml:space="preserve">Figure </w:t>
      </w:r>
      <w:r w:rsidR="003648B8">
        <w:rPr>
          <w:noProof/>
        </w:rPr>
        <w:t>164</w:t>
      </w:r>
      <w:r w:rsidR="00575CA7">
        <w:rPr>
          <w:lang w:val="en-US"/>
        </w:rPr>
        <w:fldChar w:fldCharType="end"/>
      </w:r>
      <w:r w:rsidR="00DD2FA5">
        <w:rPr>
          <w:lang w:val="en-US"/>
        </w:rPr>
        <w:t>)</w:t>
      </w:r>
      <w:r w:rsidR="006642F7">
        <w:rPr>
          <w:lang w:val="en-US"/>
        </w:rPr>
        <w:t xml:space="preserve"> and is highly variable through time</w:t>
      </w:r>
      <w:r>
        <w:rPr>
          <w:lang w:val="en-US"/>
        </w:rPr>
        <w:t xml:space="preserve">. This inter-annual variation is also caused by </w:t>
      </w:r>
      <w:r w:rsidR="006642F7">
        <w:rPr>
          <w:lang w:val="en-US"/>
        </w:rPr>
        <w:t>the</w:t>
      </w:r>
      <w:r>
        <w:rPr>
          <w:lang w:val="en-US"/>
        </w:rPr>
        <w:t xml:space="preserve"> episodic </w:t>
      </w:r>
      <w:r w:rsidR="006642F7">
        <w:rPr>
          <w:lang w:val="en-US"/>
        </w:rPr>
        <w:t xml:space="preserve">nature of the </w:t>
      </w:r>
      <w:r>
        <w:rPr>
          <w:lang w:val="en-US"/>
        </w:rPr>
        <w:t>fire regime. The simulated results do not indicate a reduction in the average fraction of the forest landscape that is old</w:t>
      </w:r>
      <w:r w:rsidR="000F5BFB">
        <w:rPr>
          <w:lang w:val="en-US"/>
        </w:rPr>
        <w:t>,</w:t>
      </w:r>
      <w:r>
        <w:rPr>
          <w:lang w:val="en-US"/>
        </w:rPr>
        <w:t xml:space="preserve"> as </w:t>
      </w:r>
      <w:r w:rsidR="006642F7">
        <w:rPr>
          <w:lang w:val="en-US"/>
        </w:rPr>
        <w:t xml:space="preserve">the fire </w:t>
      </w:r>
      <w:r w:rsidR="000F5BFB">
        <w:rPr>
          <w:lang w:val="en-US"/>
        </w:rPr>
        <w:t>disturbance regime</w:t>
      </w:r>
      <w:r>
        <w:rPr>
          <w:lang w:val="en-US"/>
        </w:rPr>
        <w:t xml:space="preserve"> </w:t>
      </w:r>
      <w:r w:rsidR="006642F7">
        <w:rPr>
          <w:lang w:val="en-US"/>
        </w:rPr>
        <w:t>is not projected to change</w:t>
      </w:r>
      <w:r w:rsidR="000F5BFB">
        <w:rPr>
          <w:lang w:val="en-US"/>
        </w:rPr>
        <w:t>,</w:t>
      </w:r>
      <w:r w:rsidR="006642F7">
        <w:rPr>
          <w:lang w:val="en-US"/>
        </w:rPr>
        <w:t xml:space="preserve"> and there is no significant level of logging occurring on the study area.  </w:t>
      </w:r>
    </w:p>
    <w:p w:rsidR="00894004" w:rsidRPr="00B964F2" w:rsidRDefault="00894004" w:rsidP="00894004">
      <w:pPr>
        <w:pStyle w:val="BodyText"/>
        <w:rPr>
          <w:lang w:val="en-US"/>
        </w:rPr>
      </w:pPr>
      <w:r w:rsidRPr="00DD2FA5">
        <w:rPr>
          <w:lang w:val="en-US"/>
        </w:rPr>
        <w:t>The analyses of forest demography in CLFN SA are different than results reported in projects such as CEMA SEWG, where average forest age and contributions of old forests are projected to decline significantly. The major reason for this discrepancy is the absence of commercial forestry in CLFN SA, and hence the absence of additive disturbances (fire and logging) that collectively shape forest age class structure.</w:t>
      </w:r>
    </w:p>
    <w:p w:rsidR="00894004" w:rsidRDefault="00894004" w:rsidP="00894004">
      <w:pPr>
        <w:spacing w:after="200" w:line="276" w:lineRule="auto"/>
      </w:pPr>
      <w:r>
        <w:br w:type="page"/>
      </w:r>
    </w:p>
    <w:p w:rsidR="00894004" w:rsidRDefault="00894004" w:rsidP="004E31FB">
      <w:pPr>
        <w:pStyle w:val="BodyText"/>
        <w:keepNext/>
        <w:spacing w:after="0"/>
      </w:pPr>
      <w:r>
        <w:rPr>
          <w:noProof/>
          <w:lang w:val="en-US"/>
        </w:rPr>
        <w:lastRenderedPageBreak/>
        <w:drawing>
          <wp:inline distT="0" distB="0" distL="0" distR="0">
            <wp:extent cx="4769604" cy="3600000"/>
            <wp:effectExtent l="19050" t="19050" r="11946" b="19500"/>
            <wp:docPr id="8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cstate="print"/>
                    <a:srcRect/>
                    <a:stretch>
                      <a:fillRect/>
                    </a:stretch>
                  </pic:blipFill>
                  <pic:spPr bwMode="auto">
                    <a:xfrm>
                      <a:off x="0" y="0"/>
                      <a:ext cx="4769604"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4E31FB" w:rsidRDefault="00894004" w:rsidP="006642F7">
      <w:pPr>
        <w:pStyle w:val="Caption"/>
      </w:pPr>
      <w:bookmarkStart w:id="479" w:name="_Ref326271054"/>
      <w:bookmarkStart w:id="480" w:name="_Toc326233064"/>
      <w:bookmarkStart w:id="481" w:name="_Toc338703942"/>
      <w:proofErr w:type="gramStart"/>
      <w:r>
        <w:t xml:space="preserve">Figure </w:t>
      </w:r>
      <w:fldSimple w:instr=" SEQ Figure \* ARABIC ">
        <w:r w:rsidR="00A02D22">
          <w:rPr>
            <w:noProof/>
          </w:rPr>
          <w:t>163</w:t>
        </w:r>
      </w:fldSimple>
      <w:bookmarkEnd w:id="479"/>
      <w:r>
        <w:t>.</w:t>
      </w:r>
      <w:proofErr w:type="gramEnd"/>
      <w:r>
        <w:t xml:space="preserve"> Average forest age in CLFN SA.</w:t>
      </w:r>
      <w:bookmarkEnd w:id="480"/>
      <w:bookmarkEnd w:id="481"/>
    </w:p>
    <w:p w:rsidR="006642F7" w:rsidRPr="006642F7" w:rsidRDefault="006642F7" w:rsidP="006642F7">
      <w:pPr>
        <w:rPr>
          <w:lang w:eastAsia="en-CA"/>
        </w:rPr>
      </w:pPr>
    </w:p>
    <w:p w:rsidR="00894004" w:rsidRDefault="00894004" w:rsidP="004E31FB">
      <w:pPr>
        <w:pStyle w:val="BodyText"/>
        <w:keepNext/>
        <w:spacing w:after="0"/>
      </w:pPr>
      <w:r>
        <w:rPr>
          <w:noProof/>
          <w:lang w:val="en-US"/>
        </w:rPr>
        <w:drawing>
          <wp:inline distT="0" distB="0" distL="0" distR="0">
            <wp:extent cx="4764832" cy="3600000"/>
            <wp:effectExtent l="19050" t="19050" r="16718" b="19500"/>
            <wp:docPr id="8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cstate="print"/>
                    <a:srcRect/>
                    <a:stretch>
                      <a:fillRect/>
                    </a:stretch>
                  </pic:blipFill>
                  <pic:spPr bwMode="auto">
                    <a:xfrm>
                      <a:off x="0" y="0"/>
                      <a:ext cx="4764832"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Pr="006A5403" w:rsidRDefault="00894004" w:rsidP="00894004">
      <w:pPr>
        <w:pStyle w:val="Caption"/>
        <w:rPr>
          <w:lang w:val="en-US"/>
        </w:rPr>
      </w:pPr>
      <w:bookmarkStart w:id="482" w:name="_Ref326271083"/>
      <w:bookmarkStart w:id="483" w:name="_Toc326233065"/>
      <w:bookmarkStart w:id="484" w:name="_Toc338703943"/>
      <w:proofErr w:type="gramStart"/>
      <w:r>
        <w:t xml:space="preserve">Figure </w:t>
      </w:r>
      <w:fldSimple w:instr=" SEQ Figure \* ARABIC ">
        <w:r w:rsidR="00A02D22">
          <w:rPr>
            <w:noProof/>
          </w:rPr>
          <w:t>164</w:t>
        </w:r>
      </w:fldSimple>
      <w:bookmarkEnd w:id="482"/>
      <w:r>
        <w:t>.</w:t>
      </w:r>
      <w:proofErr w:type="gramEnd"/>
      <w:r>
        <w:t xml:space="preserve"> Simulated changes in average forest age on CLFN SA.</w:t>
      </w:r>
      <w:bookmarkEnd w:id="483"/>
      <w:bookmarkEnd w:id="484"/>
    </w:p>
    <w:p w:rsidR="00894004" w:rsidRDefault="00894004" w:rsidP="00894004">
      <w:pPr>
        <w:pStyle w:val="Heading3"/>
      </w:pPr>
      <w:bookmarkStart w:id="485" w:name="_Toc326233169"/>
      <w:bookmarkStart w:id="486" w:name="_Toc338703748"/>
      <w:r>
        <w:lastRenderedPageBreak/>
        <w:t>Moose Habitat Effectiveness</w:t>
      </w:r>
      <w:bookmarkEnd w:id="485"/>
      <w:bookmarkEnd w:id="486"/>
    </w:p>
    <w:p w:rsidR="00894004" w:rsidRDefault="00894004" w:rsidP="00894004">
      <w:pPr>
        <w:pStyle w:val="BodyText"/>
        <w:rPr>
          <w:lang w:val="en-US"/>
        </w:rPr>
      </w:pPr>
      <w:r>
        <w:rPr>
          <w:lang w:val="en-US"/>
        </w:rPr>
        <w:t xml:space="preserve">Moose habitat effectiveness index in CLFN SA varied in the RNV era between 0.35 and 0.5, indicating that not all landscape types </w:t>
      </w:r>
      <w:r w:rsidR="00E27170">
        <w:rPr>
          <w:lang w:val="en-US"/>
        </w:rPr>
        <w:t>are</w:t>
      </w:r>
      <w:r>
        <w:rPr>
          <w:lang w:val="en-US"/>
        </w:rPr>
        <w:t xml:space="preserve"> of maximum value or </w:t>
      </w:r>
      <w:r w:rsidR="00E27170">
        <w:rPr>
          <w:lang w:val="en-US"/>
        </w:rPr>
        <w:t>remain</w:t>
      </w:r>
      <w:r>
        <w:rPr>
          <w:lang w:val="en-US"/>
        </w:rPr>
        <w:t xml:space="preserve"> in an optimal age class structure.  During the past 100 years, the quality of moose habitat has declined appreciably (</w:t>
      </w:r>
      <w:r w:rsidR="00575CA7">
        <w:rPr>
          <w:lang w:val="en-US"/>
        </w:rPr>
        <w:fldChar w:fldCharType="begin"/>
      </w:r>
      <w:r w:rsidR="00DD2FA5">
        <w:rPr>
          <w:lang w:val="en-US"/>
        </w:rPr>
        <w:instrText xml:space="preserve"> REF _Ref326271158 \h </w:instrText>
      </w:r>
      <w:r w:rsidR="00575CA7">
        <w:rPr>
          <w:lang w:val="en-US"/>
        </w:rPr>
      </w:r>
      <w:r w:rsidR="00575CA7">
        <w:rPr>
          <w:lang w:val="en-US"/>
        </w:rPr>
        <w:fldChar w:fldCharType="separate"/>
      </w:r>
      <w:r w:rsidR="003648B8">
        <w:t xml:space="preserve">Figure </w:t>
      </w:r>
      <w:r w:rsidR="003648B8">
        <w:rPr>
          <w:noProof/>
        </w:rPr>
        <w:t>165</w:t>
      </w:r>
      <w:r w:rsidR="00575CA7">
        <w:rPr>
          <w:lang w:val="en-US"/>
        </w:rPr>
        <w:fldChar w:fldCharType="end"/>
      </w:r>
      <w:r>
        <w:rPr>
          <w:lang w:val="en-US"/>
        </w:rPr>
        <w:t>), and the majority of this decline has occurred in the cultivated regions to the south and in those townships where human population and the energy sector footprint is highest. The combination of high human and edge density reflects an elevated mortality factor and a concomitant decline in habitat effectiveness.</w:t>
      </w:r>
    </w:p>
    <w:p w:rsidR="00894004" w:rsidRDefault="00894004" w:rsidP="00894004">
      <w:pPr>
        <w:pStyle w:val="BodyText"/>
        <w:rPr>
          <w:lang w:val="en-US"/>
        </w:rPr>
      </w:pPr>
      <w:r>
        <w:rPr>
          <w:lang w:val="en-US"/>
        </w:rPr>
        <w:t>Relative to other regions, the generally improved status of moose habitat effectiveness in CLAWR (</w:t>
      </w:r>
      <w:r w:rsidR="00575CA7">
        <w:rPr>
          <w:lang w:val="en-US"/>
        </w:rPr>
        <w:fldChar w:fldCharType="begin"/>
      </w:r>
      <w:r w:rsidR="00DD2FA5">
        <w:rPr>
          <w:lang w:val="en-US"/>
        </w:rPr>
        <w:instrText xml:space="preserve"> REF _Ref326271177 \h </w:instrText>
      </w:r>
      <w:r w:rsidR="00575CA7">
        <w:rPr>
          <w:lang w:val="en-US"/>
        </w:rPr>
      </w:r>
      <w:r w:rsidR="00575CA7">
        <w:rPr>
          <w:lang w:val="en-US"/>
        </w:rPr>
        <w:fldChar w:fldCharType="separate"/>
      </w:r>
      <w:r w:rsidR="003648B8">
        <w:t xml:space="preserve">Figure </w:t>
      </w:r>
      <w:r w:rsidR="003648B8">
        <w:rPr>
          <w:noProof/>
        </w:rPr>
        <w:t>166</w:t>
      </w:r>
      <w:r w:rsidR="00575CA7">
        <w:rPr>
          <w:lang w:val="en-US"/>
        </w:rPr>
        <w:fldChar w:fldCharType="end"/>
      </w:r>
      <w:r>
        <w:rPr>
          <w:lang w:val="en-US"/>
        </w:rPr>
        <w:t xml:space="preserve">) is caused by the general exclusion of both hunting and firearms in this subregion. In a modeling context, the linear features within CLAWR do not carry the same habitat discount factor as similar </w:t>
      </w:r>
      <w:r w:rsidR="00C544DE">
        <w:rPr>
          <w:lang w:val="en-US"/>
        </w:rPr>
        <w:t>land-use</w:t>
      </w:r>
      <w:r>
        <w:rPr>
          <w:lang w:val="en-US"/>
        </w:rPr>
        <w:t xml:space="preserve"> footprint in regions where hunting is not prohibited.</w:t>
      </w:r>
    </w:p>
    <w:p w:rsidR="00894004" w:rsidRDefault="00894004" w:rsidP="00894004">
      <w:pPr>
        <w:pStyle w:val="BodyText"/>
        <w:rPr>
          <w:lang w:val="en-US"/>
        </w:rPr>
      </w:pPr>
      <w:r>
        <w:rPr>
          <w:lang w:val="en-US"/>
        </w:rPr>
        <w:t>Moose habitat quality is projected to decline modestly in the next few decades (</w:t>
      </w:r>
      <w:r w:rsidR="00575CA7">
        <w:rPr>
          <w:lang w:val="en-US"/>
        </w:rPr>
        <w:fldChar w:fldCharType="begin"/>
      </w:r>
      <w:r w:rsidR="006C02CB">
        <w:rPr>
          <w:lang w:val="en-US"/>
        </w:rPr>
        <w:instrText xml:space="preserve"> REF _Ref326271158 \h </w:instrText>
      </w:r>
      <w:r w:rsidR="00575CA7">
        <w:rPr>
          <w:lang w:val="en-US"/>
        </w:rPr>
      </w:r>
      <w:r w:rsidR="00575CA7">
        <w:rPr>
          <w:lang w:val="en-US"/>
        </w:rPr>
        <w:fldChar w:fldCharType="separate"/>
      </w:r>
      <w:r w:rsidR="003648B8">
        <w:t xml:space="preserve">Figure </w:t>
      </w:r>
      <w:r w:rsidR="003648B8">
        <w:rPr>
          <w:noProof/>
        </w:rPr>
        <w:t>165</w:t>
      </w:r>
      <w:r w:rsidR="00575CA7">
        <w:rPr>
          <w:lang w:val="en-US"/>
        </w:rPr>
        <w:fldChar w:fldCharType="end"/>
      </w:r>
      <w:r w:rsidR="006C02CB">
        <w:rPr>
          <w:lang w:val="en-US"/>
        </w:rPr>
        <w:t xml:space="preserve">, </w:t>
      </w:r>
      <w:r w:rsidR="00575CA7">
        <w:rPr>
          <w:lang w:val="en-US"/>
        </w:rPr>
        <w:fldChar w:fldCharType="begin"/>
      </w:r>
      <w:r w:rsidR="006C02CB">
        <w:rPr>
          <w:lang w:val="en-US"/>
        </w:rPr>
        <w:instrText xml:space="preserve"> REF _Ref326271177 \h </w:instrText>
      </w:r>
      <w:r w:rsidR="00575CA7">
        <w:rPr>
          <w:lang w:val="en-US"/>
        </w:rPr>
      </w:r>
      <w:r w:rsidR="00575CA7">
        <w:rPr>
          <w:lang w:val="en-US"/>
        </w:rPr>
        <w:fldChar w:fldCharType="separate"/>
      </w:r>
      <w:r w:rsidR="003648B8">
        <w:t xml:space="preserve">Figure </w:t>
      </w:r>
      <w:r w:rsidR="003648B8">
        <w:rPr>
          <w:noProof/>
        </w:rPr>
        <w:t>166</w:t>
      </w:r>
      <w:r w:rsidR="00575CA7">
        <w:rPr>
          <w:lang w:val="en-US"/>
        </w:rPr>
        <w:fldChar w:fldCharType="end"/>
      </w:r>
      <w:r>
        <w:rPr>
          <w:lang w:val="en-US"/>
        </w:rPr>
        <w:t>) in regions where agriculture expands</w:t>
      </w:r>
      <w:r w:rsidR="000F5BFB">
        <w:rPr>
          <w:lang w:val="en-US"/>
        </w:rPr>
        <w:t xml:space="preserve"> or linear features become </w:t>
      </w:r>
      <w:r>
        <w:rPr>
          <w:lang w:val="en-US"/>
        </w:rPr>
        <w:t>dense</w:t>
      </w:r>
      <w:r w:rsidR="000F5BFB">
        <w:rPr>
          <w:lang w:val="en-US"/>
        </w:rPr>
        <w:t>r</w:t>
      </w:r>
      <w:r>
        <w:rPr>
          <w:lang w:val="en-US"/>
        </w:rPr>
        <w:t>. The major reason that moose habitat does not decline further toward zero in the next few decades can be explained by two observations:</w:t>
      </w:r>
    </w:p>
    <w:p w:rsidR="00894004" w:rsidRDefault="00894004" w:rsidP="00894004">
      <w:pPr>
        <w:pStyle w:val="BodyText"/>
        <w:numPr>
          <w:ilvl w:val="0"/>
          <w:numId w:val="32"/>
        </w:numPr>
        <w:rPr>
          <w:lang w:val="en-US"/>
        </w:rPr>
      </w:pPr>
      <w:r>
        <w:rPr>
          <w:lang w:val="en-US"/>
        </w:rPr>
        <w:t>No/minimal hunting of moose occurs in CLAWR</w:t>
      </w:r>
      <w:r w:rsidR="000F5BFB">
        <w:rPr>
          <w:lang w:val="en-US"/>
        </w:rPr>
        <w:t>.</w:t>
      </w:r>
    </w:p>
    <w:p w:rsidR="00894004" w:rsidRDefault="00894004" w:rsidP="00894004">
      <w:pPr>
        <w:pStyle w:val="BodyText"/>
        <w:numPr>
          <w:ilvl w:val="0"/>
          <w:numId w:val="32"/>
        </w:numPr>
        <w:rPr>
          <w:lang w:val="en-US"/>
        </w:rPr>
      </w:pPr>
      <w:r>
        <w:rPr>
          <w:lang w:val="en-US"/>
        </w:rPr>
        <w:t>Areas that can be hunted and have linear features are unlikely to be further discounted by the construction of new linear features</w:t>
      </w:r>
      <w:r w:rsidR="000F5BFB">
        <w:rPr>
          <w:lang w:val="en-US"/>
        </w:rPr>
        <w:t>,</w:t>
      </w:r>
      <w:r>
        <w:rPr>
          <w:lang w:val="en-US"/>
        </w:rPr>
        <w:t xml:space="preserve"> because edge density is already high and further discounting in not possible.</w:t>
      </w:r>
    </w:p>
    <w:p w:rsidR="00894004" w:rsidRDefault="00894004" w:rsidP="00894004">
      <w:pPr>
        <w:pStyle w:val="BodyText"/>
        <w:rPr>
          <w:lang w:val="en-US"/>
        </w:rPr>
      </w:pPr>
      <w:r>
        <w:rPr>
          <w:lang w:val="en-US"/>
        </w:rPr>
        <w:t>Results of our simulations suggest that moose population in CLFN SA would have fluctuated in RNV era between 2000-3000 individuals. Inter-annual and inter-decadal variation would have been caused by temporal variation in forest age class structure and snowpack depth, both of which would have affected food availability to moose.</w:t>
      </w:r>
    </w:p>
    <w:p w:rsidR="00894004" w:rsidRPr="00B47D9D" w:rsidRDefault="00894004" w:rsidP="00894004">
      <w:pPr>
        <w:pStyle w:val="BodyText"/>
        <w:rPr>
          <w:lang w:val="en-US"/>
        </w:rPr>
      </w:pPr>
      <w:r>
        <w:rPr>
          <w:lang w:val="en-US"/>
        </w:rPr>
        <w:t xml:space="preserve">Assuming that per capita moose consumption of CLFN peoples would have been similar to those rates published by Tanner et al. (2001), the annual demand for moose harvest would have been ~1600 individuals. This value is ~ twice as high as a sustainable moose harvest </w:t>
      </w:r>
      <w:r w:rsidR="000F5BFB">
        <w:rPr>
          <w:lang w:val="en-US"/>
        </w:rPr>
        <w:t>would be from</w:t>
      </w:r>
      <w:r>
        <w:rPr>
          <w:lang w:val="en-US"/>
        </w:rPr>
        <w:t xml:space="preserve"> CLFN SA.</w:t>
      </w:r>
    </w:p>
    <w:p w:rsidR="00894004" w:rsidRDefault="00894004" w:rsidP="00894004">
      <w:pPr>
        <w:spacing w:after="200" w:line="276" w:lineRule="auto"/>
      </w:pPr>
      <w:r>
        <w:br w:type="page"/>
      </w:r>
    </w:p>
    <w:p w:rsidR="00894004" w:rsidRDefault="00894004" w:rsidP="00894004">
      <w:pPr>
        <w:pStyle w:val="BodyText"/>
        <w:keepNext/>
        <w:spacing w:after="0"/>
      </w:pPr>
      <w:r>
        <w:rPr>
          <w:noProof/>
          <w:lang w:val="en-US"/>
        </w:rPr>
        <w:lastRenderedPageBreak/>
        <w:drawing>
          <wp:inline distT="0" distB="0" distL="0" distR="0">
            <wp:extent cx="4770593" cy="3600000"/>
            <wp:effectExtent l="19050" t="19050" r="10957" b="19500"/>
            <wp:docPr id="8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cstate="print"/>
                    <a:srcRect/>
                    <a:stretch>
                      <a:fillRect/>
                    </a:stretch>
                  </pic:blipFill>
                  <pic:spPr bwMode="auto">
                    <a:xfrm>
                      <a:off x="0" y="0"/>
                      <a:ext cx="4770593"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87" w:name="_Ref326271158"/>
      <w:bookmarkStart w:id="488" w:name="_Toc326233066"/>
      <w:bookmarkStart w:id="489" w:name="_Toc338703944"/>
      <w:proofErr w:type="gramStart"/>
      <w:r>
        <w:t xml:space="preserve">Figure </w:t>
      </w:r>
      <w:fldSimple w:instr=" SEQ Figure \* ARABIC ">
        <w:r w:rsidR="00A02D22">
          <w:rPr>
            <w:noProof/>
          </w:rPr>
          <w:t>165</w:t>
        </w:r>
      </w:fldSimple>
      <w:bookmarkEnd w:id="487"/>
      <w:r w:rsidR="008C753A">
        <w:t>.</w:t>
      </w:r>
      <w:proofErr w:type="gramEnd"/>
      <w:r w:rsidR="008C753A">
        <w:t xml:space="preserve"> Historical, current and future c</w:t>
      </w:r>
      <w:r>
        <w:t>hanges in moose habitat effectiveness for CLFN SA.</w:t>
      </w:r>
      <w:bookmarkEnd w:id="488"/>
      <w:bookmarkEnd w:id="489"/>
    </w:p>
    <w:p w:rsidR="00894004" w:rsidRPr="00395D39" w:rsidRDefault="00894004" w:rsidP="00894004">
      <w:pPr>
        <w:rPr>
          <w:lang w:eastAsia="en-CA"/>
        </w:rPr>
      </w:pPr>
    </w:p>
    <w:p w:rsidR="00894004" w:rsidRDefault="00894004" w:rsidP="00894004">
      <w:pPr>
        <w:keepNext/>
      </w:pPr>
      <w:r>
        <w:rPr>
          <w:noProof/>
          <w:lang w:val="en-US"/>
        </w:rPr>
        <w:drawing>
          <wp:inline distT="0" distB="0" distL="0" distR="0">
            <wp:extent cx="5564665" cy="3600000"/>
            <wp:effectExtent l="19050" t="19050" r="16985" b="19500"/>
            <wp:docPr id="815" name="Picture 14" descr="C:\Documents and Settings\Brad\Local Settings\Temporary Internet Files\Content.Outlook\Z9YTZ38U\CLFN Mapper Moose HSI 2010-2210 Formal Map May 30-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Brad\Local Settings\Temporary Internet Files\Content.Outlook\Z9YTZ38U\CLFN Mapper Moose HSI 2010-2210 Formal Map May 30-2012.png"/>
                    <pic:cNvPicPr>
                      <a:picLocks noChangeAspect="1" noChangeArrowheads="1"/>
                    </pic:cNvPicPr>
                  </pic:nvPicPr>
                  <pic:blipFill>
                    <a:blip r:embed="rId185" cstate="print"/>
                    <a:srcRect/>
                    <a:stretch>
                      <a:fillRect/>
                    </a:stretch>
                  </pic:blipFill>
                  <pic:spPr bwMode="auto">
                    <a:xfrm>
                      <a:off x="0" y="0"/>
                      <a:ext cx="5564665"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Pr="00395D39" w:rsidRDefault="00894004" w:rsidP="00894004">
      <w:pPr>
        <w:pStyle w:val="Caption"/>
      </w:pPr>
      <w:bookmarkStart w:id="490" w:name="_Ref326271177"/>
      <w:bookmarkStart w:id="491" w:name="_Toc326233067"/>
      <w:bookmarkStart w:id="492" w:name="_Toc338703945"/>
      <w:proofErr w:type="gramStart"/>
      <w:r>
        <w:t xml:space="preserve">Figure </w:t>
      </w:r>
      <w:fldSimple w:instr=" SEQ Figure \* ARABIC ">
        <w:r w:rsidR="00A02D22">
          <w:rPr>
            <w:noProof/>
          </w:rPr>
          <w:t>166</w:t>
        </w:r>
      </w:fldSimple>
      <w:bookmarkEnd w:id="490"/>
      <w:r>
        <w:t>.</w:t>
      </w:r>
      <w:proofErr w:type="gramEnd"/>
      <w:r>
        <w:t xml:space="preserve"> Projected future change in moose habitat effectiveness on CLFN SA.</w:t>
      </w:r>
      <w:bookmarkEnd w:id="491"/>
      <w:bookmarkEnd w:id="492"/>
    </w:p>
    <w:p w:rsidR="00894004" w:rsidRPr="006C02CB" w:rsidRDefault="00894004" w:rsidP="00894004">
      <w:pPr>
        <w:pStyle w:val="Heading3"/>
      </w:pPr>
      <w:bookmarkStart w:id="493" w:name="_Toc326233170"/>
      <w:bookmarkStart w:id="494" w:name="_Toc338703749"/>
      <w:r w:rsidRPr="006C02CB">
        <w:lastRenderedPageBreak/>
        <w:t>Moose Populations and Harvest</w:t>
      </w:r>
      <w:bookmarkEnd w:id="493"/>
      <w:bookmarkEnd w:id="494"/>
    </w:p>
    <w:p w:rsidR="00894004" w:rsidRPr="006C02CB" w:rsidRDefault="008C753A" w:rsidP="00894004">
      <w:pPr>
        <w:pStyle w:val="BodyText"/>
        <w:rPr>
          <w:lang w:val="en-US"/>
        </w:rPr>
      </w:pPr>
      <w:r>
        <w:rPr>
          <w:lang w:val="en-US"/>
        </w:rPr>
        <w:t xml:space="preserve">The general structure for computing moose harvest levels is outlined in </w:t>
      </w:r>
      <w:r w:rsidR="00575CA7">
        <w:rPr>
          <w:lang w:val="en-US"/>
        </w:rPr>
        <w:fldChar w:fldCharType="begin"/>
      </w:r>
      <w:r>
        <w:rPr>
          <w:lang w:val="en-US"/>
        </w:rPr>
        <w:instrText xml:space="preserve"> REF _Ref326235859 \h </w:instrText>
      </w:r>
      <w:r w:rsidR="00575CA7">
        <w:rPr>
          <w:lang w:val="en-US"/>
        </w:rPr>
      </w:r>
      <w:r w:rsidR="00575CA7">
        <w:rPr>
          <w:lang w:val="en-US"/>
        </w:rPr>
        <w:fldChar w:fldCharType="separate"/>
      </w:r>
      <w:r w:rsidR="003648B8">
        <w:t xml:space="preserve">Figure </w:t>
      </w:r>
      <w:r w:rsidR="003648B8">
        <w:rPr>
          <w:noProof/>
        </w:rPr>
        <w:t>167</w:t>
      </w:r>
      <w:r w:rsidR="00575CA7">
        <w:rPr>
          <w:lang w:val="en-US"/>
        </w:rPr>
        <w:fldChar w:fldCharType="end"/>
      </w:r>
      <w:r>
        <w:rPr>
          <w:lang w:val="en-US"/>
        </w:rPr>
        <w:t xml:space="preserve">. </w:t>
      </w:r>
      <w:r w:rsidR="00894004" w:rsidRPr="006C02CB">
        <w:rPr>
          <w:lang w:val="en-US"/>
        </w:rPr>
        <w:t>RNV simulations indicated that moose populations would have fluctuated between 2000-3000 individuals based on fire and snowpack history and habitat effectiveness (</w:t>
      </w:r>
      <w:r w:rsidR="00575CA7">
        <w:rPr>
          <w:lang w:val="en-US"/>
        </w:rPr>
        <w:fldChar w:fldCharType="begin"/>
      </w:r>
      <w:r>
        <w:rPr>
          <w:lang w:val="en-US"/>
        </w:rPr>
        <w:instrText xml:space="preserve"> REF _Ref326322806 \h </w:instrText>
      </w:r>
      <w:r w:rsidR="00575CA7">
        <w:rPr>
          <w:lang w:val="en-US"/>
        </w:rPr>
      </w:r>
      <w:r w:rsidR="00575CA7">
        <w:rPr>
          <w:lang w:val="en-US"/>
        </w:rPr>
        <w:fldChar w:fldCharType="separate"/>
      </w:r>
      <w:r w:rsidR="003648B8">
        <w:t xml:space="preserve">Figure </w:t>
      </w:r>
      <w:r w:rsidR="003648B8">
        <w:rPr>
          <w:noProof/>
        </w:rPr>
        <w:t>168</w:t>
      </w:r>
      <w:r w:rsidR="00575CA7">
        <w:rPr>
          <w:lang w:val="en-US"/>
        </w:rPr>
        <w:fldChar w:fldCharType="end"/>
      </w:r>
      <w:r w:rsidR="00894004" w:rsidRPr="006C02CB">
        <w:rPr>
          <w:lang w:val="en-US"/>
        </w:rPr>
        <w:t xml:space="preserve">). During this period, moose demand would have averaged ~1600 individuals (based on </w:t>
      </w:r>
      <w:r>
        <w:rPr>
          <w:lang w:val="en-US"/>
        </w:rPr>
        <w:t>average annual p</w:t>
      </w:r>
      <w:r w:rsidR="003B6796">
        <w:rPr>
          <w:lang w:val="en-US"/>
        </w:rPr>
        <w:t xml:space="preserve">er capita moose demand of 1.40; </w:t>
      </w:r>
      <w:r w:rsidR="00894004" w:rsidRPr="006C02CB">
        <w:rPr>
          <w:lang w:val="en-US"/>
        </w:rPr>
        <w:t xml:space="preserve">Tanner et al. 2001) and the resident population could have supported ~500-700 based on the logic outlined in </w:t>
      </w:r>
      <w:fldSimple w:instr=" REF _Ref326235859 \h  \* MERGEFORMAT ">
        <w:r w:rsidR="003648B8">
          <w:t xml:space="preserve">Figure </w:t>
        </w:r>
        <w:r w:rsidR="003648B8">
          <w:rPr>
            <w:noProof/>
          </w:rPr>
          <w:t>167</w:t>
        </w:r>
      </w:fldSimple>
      <w:r w:rsidR="00894004" w:rsidRPr="006C02CB">
        <w:rPr>
          <w:lang w:val="en-US"/>
        </w:rPr>
        <w:t xml:space="preserve">. These results suggest that it is likely that CLFN would have ranged beyond the borders of CLFN SA to satisfy their moose meat requirements. The portion of the CLFN Traditional Territory that is in Saskatchewan is approximately the same size as that of CLFN SA, </w:t>
      </w:r>
      <w:r w:rsidR="00F02FEC">
        <w:rPr>
          <w:lang w:val="en-US"/>
        </w:rPr>
        <w:t>and this eastern half of their T</w:t>
      </w:r>
      <w:r w:rsidR="00894004" w:rsidRPr="006C02CB">
        <w:rPr>
          <w:lang w:val="en-US"/>
        </w:rPr>
        <w:t xml:space="preserve">raditional </w:t>
      </w:r>
      <w:r w:rsidR="00F02FEC">
        <w:rPr>
          <w:lang w:val="en-US"/>
        </w:rPr>
        <w:t>T</w:t>
      </w:r>
      <w:r w:rsidR="00894004" w:rsidRPr="006C02CB">
        <w:rPr>
          <w:lang w:val="en-US"/>
        </w:rPr>
        <w:t>erritory would have likely met the deficit between supply and demand.</w:t>
      </w:r>
    </w:p>
    <w:p w:rsidR="00894004" w:rsidRPr="006C02CB" w:rsidRDefault="00894004" w:rsidP="00894004">
      <w:pPr>
        <w:pStyle w:val="BodyText"/>
        <w:rPr>
          <w:lang w:val="en-US"/>
        </w:rPr>
      </w:pPr>
      <w:r w:rsidRPr="006C02CB">
        <w:rPr>
          <w:lang w:val="en-US"/>
        </w:rPr>
        <w:t>Backcast simulations indicate that moose populations have declined during the past century in response to loss of habitat (e.g., cultivated lands, settlements, roads) and increased harvest mortality from aboriginal and non-aboriginal hunters (</w:t>
      </w:r>
      <w:r w:rsidR="00575CA7">
        <w:rPr>
          <w:lang w:val="en-US"/>
        </w:rPr>
        <w:fldChar w:fldCharType="begin"/>
      </w:r>
      <w:r w:rsidR="008C753A">
        <w:rPr>
          <w:lang w:val="en-US"/>
        </w:rPr>
        <w:instrText xml:space="preserve"> REF _Ref326322806 \h </w:instrText>
      </w:r>
      <w:r w:rsidR="00575CA7">
        <w:rPr>
          <w:lang w:val="en-US"/>
        </w:rPr>
      </w:r>
      <w:r w:rsidR="00575CA7">
        <w:rPr>
          <w:lang w:val="en-US"/>
        </w:rPr>
        <w:fldChar w:fldCharType="separate"/>
      </w:r>
      <w:r w:rsidR="003648B8">
        <w:t xml:space="preserve">Figure </w:t>
      </w:r>
      <w:r w:rsidR="003648B8">
        <w:rPr>
          <w:noProof/>
        </w:rPr>
        <w:t>168</w:t>
      </w:r>
      <w:r w:rsidR="00575CA7">
        <w:rPr>
          <w:lang w:val="en-US"/>
        </w:rPr>
        <w:fldChar w:fldCharType="end"/>
      </w:r>
      <w:r w:rsidRPr="006C02CB">
        <w:rPr>
          <w:lang w:val="en-US"/>
        </w:rPr>
        <w:t xml:space="preserve">; also see </w:t>
      </w:r>
      <w:fldSimple w:instr=" REF _Ref326162846 \h  \* MERGEFORMAT ">
        <w:r w:rsidR="003648B8">
          <w:t xml:space="preserve">Figure </w:t>
        </w:r>
        <w:r w:rsidR="003648B8">
          <w:rPr>
            <w:noProof/>
          </w:rPr>
          <w:t>107</w:t>
        </w:r>
      </w:fldSimple>
      <w:r w:rsidRPr="006C02CB">
        <w:rPr>
          <w:lang w:val="en-US"/>
        </w:rPr>
        <w:t xml:space="preserve">, </w:t>
      </w:r>
      <w:fldSimple w:instr=" REF _Ref326162848 \h  \* MERGEFORMAT ">
        <w:r w:rsidR="003648B8">
          <w:t xml:space="preserve">Figure </w:t>
        </w:r>
        <w:r w:rsidR="003648B8">
          <w:rPr>
            <w:noProof/>
          </w:rPr>
          <w:t>108</w:t>
        </w:r>
      </w:fldSimple>
      <w:r w:rsidRPr="006C02CB">
        <w:rPr>
          <w:lang w:val="en-US"/>
        </w:rPr>
        <w:t xml:space="preserve">, </w:t>
      </w:r>
      <w:fldSimple w:instr=" REF _Ref326162852 \h  \* MERGEFORMAT ">
        <w:r w:rsidR="003648B8">
          <w:t xml:space="preserve">Figure </w:t>
        </w:r>
        <w:r w:rsidR="003648B8">
          <w:rPr>
            <w:noProof/>
          </w:rPr>
          <w:t>109</w:t>
        </w:r>
      </w:fldSimple>
      <w:r w:rsidRPr="006C02CB">
        <w:rPr>
          <w:lang w:val="en-US"/>
        </w:rPr>
        <w:t>). It is highly likely that loss of access to the majority of the Traditional Territory by CLFN would have lead to elevated hunting pressure on the remaining portion of the landbase that remained accessible.</w:t>
      </w:r>
    </w:p>
    <w:p w:rsidR="00DA63C9" w:rsidRDefault="00894004" w:rsidP="00894004">
      <w:pPr>
        <w:pStyle w:val="BodyText"/>
        <w:rPr>
          <w:lang w:val="en-US"/>
        </w:rPr>
      </w:pPr>
      <w:r w:rsidRPr="006C02CB">
        <w:rPr>
          <w:lang w:val="en-US"/>
        </w:rPr>
        <w:t xml:space="preserve">The moose population dynamics model suggests that the population will continue its decline to levels ~50% of RNV values and might incrementally increase to levels of </w:t>
      </w:r>
      <w:r w:rsidR="00DA63C9">
        <w:rPr>
          <w:lang w:val="en-US"/>
        </w:rPr>
        <w:t>~</w:t>
      </w:r>
      <w:r w:rsidRPr="006C02CB">
        <w:rPr>
          <w:lang w:val="en-US"/>
        </w:rPr>
        <w:t xml:space="preserve">1500 </w:t>
      </w:r>
      <w:r w:rsidR="00DA63C9">
        <w:rPr>
          <w:lang w:val="en-US"/>
        </w:rPr>
        <w:t xml:space="preserve">moose </w:t>
      </w:r>
      <w:r w:rsidRPr="006C02CB">
        <w:rPr>
          <w:lang w:val="en-US"/>
        </w:rPr>
        <w:t>as the footprint</w:t>
      </w:r>
      <w:r w:rsidR="00DA63C9">
        <w:rPr>
          <w:lang w:val="en-US"/>
        </w:rPr>
        <w:t xml:space="preserve"> of the energy sector reclaims.</w:t>
      </w:r>
    </w:p>
    <w:p w:rsidR="00894004" w:rsidRDefault="00894004" w:rsidP="00894004">
      <w:pPr>
        <w:pStyle w:val="BodyText"/>
        <w:rPr>
          <w:lang w:val="en-US"/>
        </w:rPr>
      </w:pPr>
      <w:r w:rsidRPr="006C02CB">
        <w:rPr>
          <w:lang w:val="en-US"/>
        </w:rPr>
        <w:t xml:space="preserve">It is important to state that </w:t>
      </w:r>
      <w:r w:rsidR="00C544DE">
        <w:rPr>
          <w:lang w:val="en-US"/>
        </w:rPr>
        <w:t>land-use</w:t>
      </w:r>
      <w:r w:rsidRPr="006C02CB">
        <w:rPr>
          <w:lang w:val="en-US"/>
        </w:rPr>
        <w:t xml:space="preserve"> footprint reclamation </w:t>
      </w:r>
      <w:proofErr w:type="gramStart"/>
      <w:r w:rsidRPr="006C02CB">
        <w:rPr>
          <w:lang w:val="en-US"/>
        </w:rPr>
        <w:t>will</w:t>
      </w:r>
      <w:proofErr w:type="gramEnd"/>
      <w:r w:rsidRPr="006C02CB">
        <w:rPr>
          <w:lang w:val="en-US"/>
        </w:rPr>
        <w:t xml:space="preserve"> not likely result in increased moose populations if issues relating to local overharvest of moose are not addressed.</w:t>
      </w:r>
    </w:p>
    <w:p w:rsidR="00894004" w:rsidRDefault="00894004" w:rsidP="00894004">
      <w:pPr>
        <w:pStyle w:val="BodyText"/>
        <w:keepNext/>
        <w:spacing w:after="0"/>
      </w:pPr>
      <w:r>
        <w:rPr>
          <w:noProof/>
          <w:lang w:val="en-US"/>
        </w:rPr>
        <w:lastRenderedPageBreak/>
        <w:drawing>
          <wp:inline distT="0" distB="0" distL="0" distR="0">
            <wp:extent cx="4766897" cy="3600000"/>
            <wp:effectExtent l="19050" t="19050" r="14653" b="19500"/>
            <wp:docPr id="8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cstate="print"/>
                    <a:srcRect/>
                    <a:stretch>
                      <a:fillRect/>
                    </a:stretch>
                  </pic:blipFill>
                  <pic:spPr bwMode="auto">
                    <a:xfrm>
                      <a:off x="0" y="0"/>
                      <a:ext cx="4766897"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pPr>
      <w:bookmarkStart w:id="495" w:name="_Ref326235859"/>
      <w:bookmarkStart w:id="496" w:name="_Toc338703946"/>
      <w:proofErr w:type="gramStart"/>
      <w:r>
        <w:t xml:space="preserve">Figure </w:t>
      </w:r>
      <w:fldSimple w:instr=" SEQ Figure \* ARABIC ">
        <w:r w:rsidR="00A02D22">
          <w:rPr>
            <w:noProof/>
          </w:rPr>
          <w:t>167</w:t>
        </w:r>
      </w:fldSimple>
      <w:bookmarkEnd w:id="495"/>
      <w:r>
        <w:t>.</w:t>
      </w:r>
      <w:proofErr w:type="gramEnd"/>
      <w:r>
        <w:t xml:space="preserve"> </w:t>
      </w:r>
      <w:proofErr w:type="gramStart"/>
      <w:r>
        <w:t>General approach in the CLFN ALCES model for simulating moose harvest.</w:t>
      </w:r>
      <w:bookmarkEnd w:id="496"/>
      <w:proofErr w:type="gramEnd"/>
    </w:p>
    <w:p w:rsidR="009D22E2" w:rsidRPr="009D22E2" w:rsidRDefault="009D22E2" w:rsidP="009D22E2">
      <w:pPr>
        <w:rPr>
          <w:lang w:eastAsia="en-CA"/>
        </w:rPr>
      </w:pPr>
    </w:p>
    <w:p w:rsidR="00FF455E" w:rsidRDefault="00FF455E" w:rsidP="00894004">
      <w:pPr>
        <w:keepNext/>
      </w:pPr>
    </w:p>
    <w:p w:rsidR="00894004" w:rsidRDefault="00894004" w:rsidP="00894004">
      <w:pPr>
        <w:keepNext/>
      </w:pPr>
      <w:r>
        <w:rPr>
          <w:noProof/>
          <w:lang w:val="en-US"/>
        </w:rPr>
        <w:drawing>
          <wp:inline distT="0" distB="0" distL="0" distR="0">
            <wp:extent cx="4745080" cy="3600000"/>
            <wp:effectExtent l="19050" t="19050" r="17420" b="19500"/>
            <wp:docPr id="8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7" cstate="print"/>
                    <a:srcRect/>
                    <a:stretch>
                      <a:fillRect/>
                    </a:stretch>
                  </pic:blipFill>
                  <pic:spPr bwMode="auto">
                    <a:xfrm>
                      <a:off x="0" y="0"/>
                      <a:ext cx="4745080"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Pr="00976E45" w:rsidRDefault="00894004" w:rsidP="00894004">
      <w:pPr>
        <w:pStyle w:val="Caption"/>
      </w:pPr>
      <w:bookmarkStart w:id="497" w:name="_Ref326322806"/>
      <w:bookmarkStart w:id="498" w:name="_Toc326233068"/>
      <w:bookmarkStart w:id="499" w:name="_Toc338703947"/>
      <w:proofErr w:type="gramStart"/>
      <w:r>
        <w:t xml:space="preserve">Figure </w:t>
      </w:r>
      <w:fldSimple w:instr=" SEQ Figure \* ARABIC ">
        <w:r w:rsidR="00A02D22">
          <w:rPr>
            <w:noProof/>
          </w:rPr>
          <w:t>168</w:t>
        </w:r>
      </w:fldSimple>
      <w:bookmarkEnd w:id="497"/>
      <w:r>
        <w:t>.</w:t>
      </w:r>
      <w:proofErr w:type="gramEnd"/>
      <w:r>
        <w:t xml:space="preserve"> Simulated change in moose populations, harvest demand and harvest availability.</w:t>
      </w:r>
      <w:bookmarkEnd w:id="498"/>
      <w:bookmarkEnd w:id="499"/>
    </w:p>
    <w:p w:rsidR="00894004" w:rsidRDefault="00894004" w:rsidP="00894004">
      <w:pPr>
        <w:spacing w:after="200" w:line="276" w:lineRule="auto"/>
        <w:rPr>
          <w:rFonts w:ascii="Arial" w:hAnsi="Arial"/>
          <w:b/>
          <w:kern w:val="28"/>
          <w:lang w:val="en-US"/>
        </w:rPr>
      </w:pPr>
      <w:bookmarkStart w:id="500" w:name="_Toc326233172"/>
      <w:r>
        <w:br w:type="page"/>
      </w:r>
    </w:p>
    <w:p w:rsidR="00894004" w:rsidRDefault="00894004" w:rsidP="00894004">
      <w:pPr>
        <w:pStyle w:val="Heading3"/>
      </w:pPr>
      <w:bookmarkStart w:id="501" w:name="_Toc338703750"/>
      <w:r>
        <w:lastRenderedPageBreak/>
        <w:t>Fisher Habitat Effectiveness</w:t>
      </w:r>
      <w:bookmarkEnd w:id="500"/>
      <w:bookmarkEnd w:id="501"/>
    </w:p>
    <w:p w:rsidR="003B6796" w:rsidRDefault="00894004" w:rsidP="003B6796">
      <w:pPr>
        <w:pStyle w:val="BodyText"/>
        <w:rPr>
          <w:lang w:val="en-US"/>
        </w:rPr>
      </w:pPr>
      <w:r>
        <w:rPr>
          <w:lang w:val="en-US"/>
        </w:rPr>
        <w:t xml:space="preserve">Fisher </w:t>
      </w:r>
      <w:proofErr w:type="gramStart"/>
      <w:r>
        <w:rPr>
          <w:lang w:val="en-US"/>
        </w:rPr>
        <w:t>are</w:t>
      </w:r>
      <w:proofErr w:type="gramEnd"/>
      <w:r>
        <w:rPr>
          <w:lang w:val="en-US"/>
        </w:rPr>
        <w:t xml:space="preserve"> sensitive to landscape types, forest age and linear features.</w:t>
      </w:r>
      <w:r w:rsidR="003B6796">
        <w:rPr>
          <w:lang w:val="en-US"/>
        </w:rPr>
        <w:t xml:space="preserve"> They are also vulnerable to excessive trapping pressure. Fisher habitat effectiveness index in CLFN SA varied in the RNV era between 0.15 and 0.28, indicating that not all landscape types </w:t>
      </w:r>
      <w:r w:rsidR="00E27170">
        <w:rPr>
          <w:lang w:val="en-US"/>
        </w:rPr>
        <w:t>are</w:t>
      </w:r>
      <w:r w:rsidR="003B6796">
        <w:rPr>
          <w:lang w:val="en-US"/>
        </w:rPr>
        <w:t xml:space="preserve"> of maximum value or </w:t>
      </w:r>
      <w:proofErr w:type="gramStart"/>
      <w:r w:rsidR="00E27170">
        <w:rPr>
          <w:lang w:val="en-US"/>
        </w:rPr>
        <w:t xml:space="preserve">remain </w:t>
      </w:r>
      <w:r w:rsidR="003B6796">
        <w:rPr>
          <w:lang w:val="en-US"/>
        </w:rPr>
        <w:t xml:space="preserve"> in</w:t>
      </w:r>
      <w:proofErr w:type="gramEnd"/>
      <w:r w:rsidR="003B6796">
        <w:rPr>
          <w:lang w:val="en-US"/>
        </w:rPr>
        <w:t xml:space="preserve"> an optimal age class structure.  During the past 50 years, the quality of fisher habitat has declined significantly (</w:t>
      </w:r>
      <w:r w:rsidR="00575CA7">
        <w:rPr>
          <w:lang w:val="en-US"/>
        </w:rPr>
        <w:fldChar w:fldCharType="begin"/>
      </w:r>
      <w:r w:rsidR="003B6796">
        <w:rPr>
          <w:lang w:val="en-US"/>
        </w:rPr>
        <w:instrText xml:space="preserve"> REF _Ref326337872 \h </w:instrText>
      </w:r>
      <w:r w:rsidR="00575CA7">
        <w:rPr>
          <w:lang w:val="en-US"/>
        </w:rPr>
      </w:r>
      <w:r w:rsidR="00575CA7">
        <w:rPr>
          <w:lang w:val="en-US"/>
        </w:rPr>
        <w:fldChar w:fldCharType="separate"/>
      </w:r>
      <w:r w:rsidR="003648B8">
        <w:t xml:space="preserve">Figure </w:t>
      </w:r>
      <w:r w:rsidR="003648B8">
        <w:rPr>
          <w:noProof/>
        </w:rPr>
        <w:t>169</w:t>
      </w:r>
      <w:r w:rsidR="00575CA7">
        <w:rPr>
          <w:lang w:val="en-US"/>
        </w:rPr>
        <w:fldChar w:fldCharType="end"/>
      </w:r>
      <w:r w:rsidR="003B6796">
        <w:rPr>
          <w:lang w:val="en-US"/>
        </w:rPr>
        <w:t>), and the majority of this decline has occurred in the cultivated regions to the south</w:t>
      </w:r>
      <w:r w:rsidR="00F02FEC">
        <w:rPr>
          <w:lang w:val="en-US"/>
        </w:rPr>
        <w:t>,</w:t>
      </w:r>
      <w:r w:rsidR="003B6796">
        <w:rPr>
          <w:lang w:val="en-US"/>
        </w:rPr>
        <w:t xml:space="preserve"> and in those townships where access associated with the energy sector is highest. The combination of high human and edge density reflects an elevated mortality factor and a concomitant decline in habitat effectiveness.</w:t>
      </w:r>
    </w:p>
    <w:p w:rsidR="00894004" w:rsidRPr="003E5D1E" w:rsidRDefault="00894004" w:rsidP="00894004">
      <w:pPr>
        <w:pStyle w:val="BodyText"/>
        <w:rPr>
          <w:lang w:val="en-US"/>
        </w:rPr>
      </w:pPr>
    </w:p>
    <w:p w:rsidR="00FF455E" w:rsidRDefault="00FF455E" w:rsidP="003B6796">
      <w:pPr>
        <w:pStyle w:val="BodyText"/>
        <w:keepNext/>
        <w:spacing w:after="0"/>
      </w:pPr>
    </w:p>
    <w:p w:rsidR="00FF455E" w:rsidRDefault="00FF455E" w:rsidP="003B6796">
      <w:pPr>
        <w:pStyle w:val="BodyText"/>
        <w:keepNext/>
        <w:spacing w:after="0"/>
      </w:pPr>
    </w:p>
    <w:p w:rsidR="00FF455E" w:rsidRDefault="00FF455E" w:rsidP="003B6796">
      <w:pPr>
        <w:pStyle w:val="BodyText"/>
        <w:keepNext/>
        <w:spacing w:after="0"/>
      </w:pPr>
    </w:p>
    <w:p w:rsidR="00FF455E" w:rsidRDefault="00FF455E" w:rsidP="003B6796">
      <w:pPr>
        <w:pStyle w:val="BodyText"/>
        <w:keepNext/>
        <w:spacing w:after="0"/>
      </w:pPr>
    </w:p>
    <w:p w:rsidR="00FF455E" w:rsidRDefault="00FF455E" w:rsidP="003B6796">
      <w:pPr>
        <w:pStyle w:val="BodyText"/>
        <w:keepNext/>
        <w:spacing w:after="0"/>
      </w:pPr>
    </w:p>
    <w:p w:rsidR="00FF455E" w:rsidRDefault="00FF455E" w:rsidP="003B6796">
      <w:pPr>
        <w:pStyle w:val="BodyText"/>
        <w:keepNext/>
        <w:spacing w:after="0"/>
      </w:pPr>
    </w:p>
    <w:p w:rsidR="00FF455E" w:rsidRDefault="00FF455E" w:rsidP="003B6796">
      <w:pPr>
        <w:pStyle w:val="BodyText"/>
        <w:keepNext/>
        <w:spacing w:after="0"/>
      </w:pPr>
    </w:p>
    <w:p w:rsidR="00FF455E" w:rsidRDefault="00FF455E" w:rsidP="003B6796">
      <w:pPr>
        <w:pStyle w:val="BodyText"/>
        <w:keepNext/>
        <w:spacing w:after="0"/>
      </w:pPr>
    </w:p>
    <w:p w:rsidR="00FF455E" w:rsidRDefault="00FF455E" w:rsidP="003B6796">
      <w:pPr>
        <w:pStyle w:val="BodyText"/>
        <w:keepNext/>
        <w:spacing w:after="0"/>
      </w:pPr>
    </w:p>
    <w:p w:rsidR="00FF455E" w:rsidRDefault="00FF455E" w:rsidP="003B6796">
      <w:pPr>
        <w:pStyle w:val="BodyText"/>
        <w:keepNext/>
        <w:spacing w:after="0"/>
      </w:pPr>
    </w:p>
    <w:p w:rsidR="00894004" w:rsidRDefault="00894004" w:rsidP="003B6796">
      <w:pPr>
        <w:pStyle w:val="BodyText"/>
        <w:keepNext/>
        <w:spacing w:after="0"/>
      </w:pPr>
      <w:r>
        <w:rPr>
          <w:noProof/>
          <w:lang w:val="en-US"/>
        </w:rPr>
        <w:drawing>
          <wp:inline distT="0" distB="0" distL="0" distR="0">
            <wp:extent cx="4755838" cy="3600000"/>
            <wp:effectExtent l="19050" t="19050" r="25712" b="19500"/>
            <wp:docPr id="81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8" cstate="print"/>
                    <a:srcRect/>
                    <a:stretch>
                      <a:fillRect/>
                    </a:stretch>
                  </pic:blipFill>
                  <pic:spPr bwMode="auto">
                    <a:xfrm>
                      <a:off x="0" y="0"/>
                      <a:ext cx="4755838"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Pr="00551A0F" w:rsidRDefault="00894004" w:rsidP="00894004">
      <w:pPr>
        <w:pStyle w:val="Caption"/>
        <w:rPr>
          <w:lang w:val="en-US"/>
        </w:rPr>
      </w:pPr>
      <w:bookmarkStart w:id="502" w:name="_Ref326337872"/>
      <w:bookmarkStart w:id="503" w:name="_Toc326233070"/>
      <w:bookmarkStart w:id="504" w:name="_Toc338703948"/>
      <w:proofErr w:type="gramStart"/>
      <w:r>
        <w:t xml:space="preserve">Figure </w:t>
      </w:r>
      <w:fldSimple w:instr=" SEQ Figure \* ARABIC ">
        <w:r w:rsidR="00A02D22">
          <w:rPr>
            <w:noProof/>
          </w:rPr>
          <w:t>169</w:t>
        </w:r>
      </w:fldSimple>
      <w:bookmarkEnd w:id="502"/>
      <w:r>
        <w:t>.</w:t>
      </w:r>
      <w:proofErr w:type="gramEnd"/>
      <w:r w:rsidR="00FF455E">
        <w:t xml:space="preserve">  </w:t>
      </w:r>
      <w:proofErr w:type="gramStart"/>
      <w:r w:rsidR="00FF455E">
        <w:t xml:space="preserve">Changes in </w:t>
      </w:r>
      <w:r>
        <w:t>Fisher Habitat Effectiveness.</w:t>
      </w:r>
      <w:proofErr w:type="gramEnd"/>
      <w:r>
        <w:t xml:space="preserve"> Source: CLFN ALCES Simulations</w:t>
      </w:r>
      <w:bookmarkEnd w:id="503"/>
      <w:bookmarkEnd w:id="504"/>
    </w:p>
    <w:p w:rsidR="00894004" w:rsidRDefault="00894004" w:rsidP="00894004">
      <w:pPr>
        <w:pStyle w:val="Heading3"/>
      </w:pPr>
      <w:bookmarkStart w:id="505" w:name="_Toc326233171"/>
      <w:bookmarkStart w:id="506" w:name="_Toc338703751"/>
      <w:r>
        <w:lastRenderedPageBreak/>
        <w:t>Index of Native Fish Integrity (INFI)</w:t>
      </w:r>
      <w:bookmarkEnd w:id="505"/>
      <w:bookmarkEnd w:id="506"/>
    </w:p>
    <w:p w:rsidR="00894004" w:rsidRDefault="00894004" w:rsidP="00894004">
      <w:pPr>
        <w:pStyle w:val="BodyText"/>
        <w:rPr>
          <w:lang w:val="en-US"/>
        </w:rPr>
      </w:pPr>
      <w:r>
        <w:rPr>
          <w:lang w:val="en-US"/>
        </w:rPr>
        <w:t>RNV simulations indicated that the index of fish integrity would have fluctuated between 0.75 and 1.00 based on inter-annual variation in precipitation, temperature and sediment di</w:t>
      </w:r>
      <w:r w:rsidR="003B6796">
        <w:rPr>
          <w:lang w:val="en-US"/>
        </w:rPr>
        <w:t>scharge into lakes and rivers</w:t>
      </w:r>
      <w:r>
        <w:rPr>
          <w:lang w:val="en-US"/>
        </w:rPr>
        <w:t xml:space="preserve">. CLFN </w:t>
      </w:r>
      <w:r w:rsidR="003B6796">
        <w:rPr>
          <w:lang w:val="en-US"/>
        </w:rPr>
        <w:t xml:space="preserve">harvesters </w:t>
      </w:r>
      <w:r>
        <w:rPr>
          <w:lang w:val="en-US"/>
        </w:rPr>
        <w:t>would have been a contributing factor to population fluctuations</w:t>
      </w:r>
      <w:r w:rsidR="00F02FEC">
        <w:rPr>
          <w:lang w:val="en-US"/>
        </w:rPr>
        <w:t>,</w:t>
      </w:r>
      <w:r>
        <w:rPr>
          <w:lang w:val="en-US"/>
        </w:rPr>
        <w:t xml:space="preserve"> but it is likely that their effects on populations would have been local and transient. It is generally accepted that the nomadic movements of pre-European CLFN communities would have been driven by local food scarcity</w:t>
      </w:r>
      <w:r w:rsidR="006D5A9B">
        <w:rPr>
          <w:lang w:val="en-US"/>
        </w:rPr>
        <w:t>,</w:t>
      </w:r>
      <w:r>
        <w:rPr>
          <w:lang w:val="en-US"/>
        </w:rPr>
        <w:t xml:space="preserve"> and that these continuous movements would have allowed locally reduced populations to recover.</w:t>
      </w:r>
    </w:p>
    <w:p w:rsidR="00894004" w:rsidRPr="007714CD" w:rsidRDefault="00894004" w:rsidP="00894004">
      <w:pPr>
        <w:pStyle w:val="BodyText"/>
        <w:rPr>
          <w:lang w:val="en-US"/>
        </w:rPr>
      </w:pPr>
      <w:r>
        <w:rPr>
          <w:lang w:val="en-US"/>
        </w:rPr>
        <w:t>Backcast simulations indicate that the INFI index has declined during the past several decades in response to direct loss of surface water habitat (headwater streams and ponds) and elevated nutrient inputs to surface water from cultivated lands, settlements, roads and the footprint of the energy sector.  An expanding network of access roads to wellpads and rural residential has also contributed to loss of watershed continuity through the process of “hung” culverts caused during flood years (Park et al., 2008). Per</w:t>
      </w:r>
      <w:r w:rsidR="006D5A9B">
        <w:rPr>
          <w:lang w:val="en-US"/>
        </w:rPr>
        <w:t>haps the greatest factor leading to</w:t>
      </w:r>
      <w:r>
        <w:rPr>
          <w:lang w:val="en-US"/>
        </w:rPr>
        <w:t xml:space="preserve"> loss of fish community integrity was the combination of elevated human populations (non-aboriginal and aboriginal) and abundant access features (roads, trails, pipelines). This combination allowed the recreational and commercial fishermen to readily access all major lakes and rivers and impose elevated and unsustainable harvest rates on desired fish species (grayling, walleye, </w:t>
      </w:r>
      <w:proofErr w:type="gramStart"/>
      <w:r>
        <w:rPr>
          <w:lang w:val="en-US"/>
        </w:rPr>
        <w:t>pike</w:t>
      </w:r>
      <w:proofErr w:type="gramEnd"/>
      <w:r>
        <w:rPr>
          <w:lang w:val="en-US"/>
        </w:rPr>
        <w:t xml:space="preserve">). The arrival of CLAWR, while having a negative effect on access by the fishing community, has also created refugia in which angling pressure is lower and fish communities have higher levels of integrity (Sullivan, 2003, 2011).  </w:t>
      </w:r>
    </w:p>
    <w:p w:rsidR="00894004" w:rsidRDefault="00894004" w:rsidP="00894004">
      <w:pPr>
        <w:pStyle w:val="BodyText"/>
        <w:keepNext/>
        <w:spacing w:after="0"/>
      </w:pPr>
      <w:r>
        <w:rPr>
          <w:noProof/>
          <w:lang w:val="en-US"/>
        </w:rPr>
        <w:drawing>
          <wp:inline distT="0" distB="0" distL="0" distR="0">
            <wp:extent cx="4740246" cy="3600000"/>
            <wp:effectExtent l="19050" t="19050" r="22254" b="19500"/>
            <wp:docPr id="8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9" cstate="print"/>
                    <a:srcRect/>
                    <a:stretch>
                      <a:fillRect/>
                    </a:stretch>
                  </pic:blipFill>
                  <pic:spPr bwMode="auto">
                    <a:xfrm>
                      <a:off x="0" y="0"/>
                      <a:ext cx="4740246"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Pr="00344719" w:rsidRDefault="00894004" w:rsidP="00894004">
      <w:pPr>
        <w:pStyle w:val="Caption"/>
        <w:rPr>
          <w:lang w:val="en-US"/>
        </w:rPr>
      </w:pPr>
      <w:bookmarkStart w:id="507" w:name="_Toc326233069"/>
      <w:bookmarkStart w:id="508" w:name="_Toc338703949"/>
      <w:proofErr w:type="gramStart"/>
      <w:r>
        <w:t xml:space="preserve">Figure </w:t>
      </w:r>
      <w:fldSimple w:instr=" SEQ Figure \* ARABIC ">
        <w:r w:rsidR="00A02D22">
          <w:rPr>
            <w:noProof/>
          </w:rPr>
          <w:t>170</w:t>
        </w:r>
      </w:fldSimple>
      <w:r>
        <w:t>.</w:t>
      </w:r>
      <w:proofErr w:type="gramEnd"/>
      <w:r>
        <w:t xml:space="preserve"> </w:t>
      </w:r>
      <w:proofErr w:type="gramStart"/>
      <w:r>
        <w:t>Changes in Index of Native Fish Integrity.</w:t>
      </w:r>
      <w:bookmarkEnd w:id="508"/>
      <w:proofErr w:type="gramEnd"/>
      <w:r>
        <w:t xml:space="preserve"> </w:t>
      </w:r>
      <w:bookmarkEnd w:id="507"/>
    </w:p>
    <w:p w:rsidR="00A02D22" w:rsidRDefault="00A02D22" w:rsidP="00894004">
      <w:pPr>
        <w:pStyle w:val="Heading3"/>
      </w:pPr>
      <w:bookmarkStart w:id="509" w:name="_Toc326233173"/>
      <w:bookmarkStart w:id="510" w:name="_Toc338703752"/>
      <w:r>
        <w:lastRenderedPageBreak/>
        <w:t>Sulphur Emissions</w:t>
      </w:r>
      <w:bookmarkEnd w:id="510"/>
    </w:p>
    <w:p w:rsidR="001B5CFA" w:rsidRDefault="00F20030">
      <w:pPr>
        <w:spacing w:after="200" w:line="276" w:lineRule="auto"/>
      </w:pPr>
      <w:r>
        <w:t>The annual production of S0</w:t>
      </w:r>
      <w:r w:rsidRPr="00863438">
        <w:rPr>
          <w:vertAlign w:val="subscript"/>
        </w:rPr>
        <w:t>2</w:t>
      </w:r>
      <w:r>
        <w:t xml:space="preserve"> follows an emission trajectory similar in shape to that of bitumen production (</w:t>
      </w:r>
      <w:r w:rsidR="00575CA7">
        <w:fldChar w:fldCharType="begin"/>
      </w:r>
      <w:r>
        <w:instrText xml:space="preserve"> REF _Ref326996177 \h </w:instrText>
      </w:r>
      <w:r w:rsidR="00575CA7">
        <w:fldChar w:fldCharType="separate"/>
      </w:r>
      <w:r>
        <w:t xml:space="preserve">Figure </w:t>
      </w:r>
      <w:r>
        <w:rPr>
          <w:noProof/>
        </w:rPr>
        <w:t>171</w:t>
      </w:r>
      <w:r w:rsidR="00575CA7">
        <w:fldChar w:fldCharType="end"/>
      </w:r>
      <w:r>
        <w:t xml:space="preserve">, </w:t>
      </w:r>
      <w:r w:rsidR="00575CA7">
        <w:fldChar w:fldCharType="begin"/>
      </w:r>
      <w:r>
        <w:instrText xml:space="preserve"> REF _Ref326272328 \h </w:instrText>
      </w:r>
      <w:r w:rsidR="00575CA7">
        <w:fldChar w:fldCharType="separate"/>
      </w:r>
      <w:r>
        <w:t xml:space="preserve">Figure </w:t>
      </w:r>
      <w:r>
        <w:rPr>
          <w:noProof/>
        </w:rPr>
        <w:t>132</w:t>
      </w:r>
      <w:r w:rsidR="00575CA7">
        <w:fldChar w:fldCharType="end"/>
      </w:r>
      <w:r w:rsidR="001B5CFA">
        <w:t>)</w:t>
      </w:r>
      <w:r>
        <w:t xml:space="preserve">. The annual and cumulative emission of </w:t>
      </w:r>
      <w:r w:rsidR="00863438">
        <w:t>S0</w:t>
      </w:r>
      <w:r w:rsidR="00863438" w:rsidRPr="00863438">
        <w:rPr>
          <w:vertAlign w:val="subscript"/>
        </w:rPr>
        <w:t>2</w:t>
      </w:r>
      <w:r>
        <w:t xml:space="preserve"> in CLFN SA will be significantly affected by the scale of operations used to extract bitumen. If no sulphur removals are required, such as currently allowed by small operators, a cumulative emission loading of 1.37 M tonne of </w:t>
      </w:r>
      <w:r w:rsidR="00863438">
        <w:t>S0</w:t>
      </w:r>
      <w:r w:rsidR="00863438" w:rsidRPr="00863438">
        <w:rPr>
          <w:vertAlign w:val="subscript"/>
        </w:rPr>
        <w:t>2</w:t>
      </w:r>
      <w:r>
        <w:t xml:space="preserve"> will occur during the full production trajectory examined in these analyses</w:t>
      </w:r>
      <w:r w:rsidR="003759E0">
        <w:t xml:space="preserve"> (</w:t>
      </w:r>
      <w:r w:rsidR="00575CA7">
        <w:fldChar w:fldCharType="begin"/>
      </w:r>
      <w:r w:rsidR="003759E0">
        <w:instrText xml:space="preserve"> REF _Ref326997469 \h </w:instrText>
      </w:r>
      <w:r w:rsidR="00575CA7">
        <w:fldChar w:fldCharType="separate"/>
      </w:r>
      <w:r w:rsidR="003759E0">
        <w:t xml:space="preserve">Figure </w:t>
      </w:r>
      <w:r w:rsidR="003759E0">
        <w:rPr>
          <w:noProof/>
        </w:rPr>
        <w:t>172</w:t>
      </w:r>
      <w:r w:rsidR="00575CA7">
        <w:fldChar w:fldCharType="end"/>
      </w:r>
      <w:r w:rsidR="003759E0">
        <w:t>)</w:t>
      </w:r>
      <w:r>
        <w:t xml:space="preserve">.  </w:t>
      </w:r>
      <w:r w:rsidR="001B5CFA">
        <w:t>Over the full production life of bitumen production in CLFN SA, this equals an area-weighted average cumulative loading of 1.22 tonne of S0</w:t>
      </w:r>
      <w:r w:rsidR="001B5CFA" w:rsidRPr="00863438">
        <w:rPr>
          <w:vertAlign w:val="subscript"/>
        </w:rPr>
        <w:t>2</w:t>
      </w:r>
      <w:r w:rsidR="001B5CFA">
        <w:t xml:space="preserve"> being emitted (and presumably) deposited for each hectare. This approach does not account for upwind S0</w:t>
      </w:r>
      <w:r w:rsidR="001B5CFA" w:rsidRPr="00863438">
        <w:rPr>
          <w:vertAlign w:val="subscript"/>
        </w:rPr>
        <w:t>2</w:t>
      </w:r>
      <w:r w:rsidR="001B5CFA">
        <w:t xml:space="preserve"> being deposited in CLFN SA or the recognition that some of the S0</w:t>
      </w:r>
      <w:r w:rsidR="001B5CFA" w:rsidRPr="00863438">
        <w:rPr>
          <w:vertAlign w:val="subscript"/>
        </w:rPr>
        <w:t>2</w:t>
      </w:r>
      <w:r w:rsidR="001B5CFA">
        <w:t xml:space="preserve"> produced in the study area will be deposited down-wind of the CLFN SA. These high potential loadings of sulphur on the landscape underscore the need to minimize the emission of this atmospheric contaminant and adverse effects of S0</w:t>
      </w:r>
      <w:r w:rsidR="001B5CFA" w:rsidRPr="00863438">
        <w:rPr>
          <w:vertAlign w:val="subscript"/>
        </w:rPr>
        <w:t>2</w:t>
      </w:r>
      <w:r w:rsidR="001B5CFA">
        <w:t xml:space="preserve"> on soil, water and other ecological processes.</w:t>
      </w:r>
    </w:p>
    <w:p w:rsidR="00F20030" w:rsidRDefault="00F20030">
      <w:pPr>
        <w:spacing w:after="200" w:line="276" w:lineRule="auto"/>
      </w:pPr>
      <w:r>
        <w:t xml:space="preserve">In </w:t>
      </w:r>
      <w:r w:rsidR="001B5CFA">
        <w:t>the small-scale facility</w:t>
      </w:r>
      <w:r>
        <w:t xml:space="preserve"> scenario, maximum annual S02 emission rates would occur in ~40 years at a rate </w:t>
      </w:r>
      <w:proofErr w:type="gramStart"/>
      <w:r>
        <w:t>of ~10,000 tonne/yr</w:t>
      </w:r>
      <w:proofErr w:type="gramEnd"/>
      <w:r>
        <w:t>.</w:t>
      </w:r>
      <w:r w:rsidR="003759E0">
        <w:t xml:space="preserve"> As illustrated clearly in </w:t>
      </w:r>
      <w:r w:rsidR="00575CA7">
        <w:fldChar w:fldCharType="begin"/>
      </w:r>
      <w:r w:rsidR="003759E0">
        <w:instrText xml:space="preserve"> REF _Ref326996177 \h </w:instrText>
      </w:r>
      <w:r w:rsidR="00575CA7">
        <w:fldChar w:fldCharType="separate"/>
      </w:r>
      <w:r w:rsidR="003759E0">
        <w:t xml:space="preserve">Figure </w:t>
      </w:r>
      <w:r w:rsidR="003759E0">
        <w:rPr>
          <w:noProof/>
        </w:rPr>
        <w:t>171</w:t>
      </w:r>
      <w:r w:rsidR="00575CA7">
        <w:fldChar w:fldCharType="end"/>
      </w:r>
      <w:r w:rsidR="003759E0">
        <w:t xml:space="preserve">and </w:t>
      </w:r>
      <w:r w:rsidR="00575CA7">
        <w:fldChar w:fldCharType="begin"/>
      </w:r>
      <w:r w:rsidR="003759E0">
        <w:instrText xml:space="preserve"> REF _Ref326997469 \h </w:instrText>
      </w:r>
      <w:r w:rsidR="00575CA7">
        <w:fldChar w:fldCharType="separate"/>
      </w:r>
      <w:r w:rsidR="003759E0">
        <w:t xml:space="preserve">Figure </w:t>
      </w:r>
      <w:r w:rsidR="003759E0">
        <w:rPr>
          <w:noProof/>
        </w:rPr>
        <w:t>172</w:t>
      </w:r>
      <w:r w:rsidR="00575CA7">
        <w:fldChar w:fldCharType="end"/>
      </w:r>
      <w:r w:rsidR="003759E0">
        <w:t xml:space="preserve">, annual and cumulative loading of </w:t>
      </w:r>
      <w:r w:rsidR="00863438">
        <w:t>S0</w:t>
      </w:r>
      <w:r w:rsidR="00863438" w:rsidRPr="00863438">
        <w:rPr>
          <w:vertAlign w:val="subscript"/>
        </w:rPr>
        <w:t>2</w:t>
      </w:r>
      <w:r w:rsidR="003759E0">
        <w:t xml:space="preserve"> can be reduced by 70% and 90% by relying on medium or large facilities, respectively. Alternatively, smaller-scaled bitumen facilities could be required to adopt more stringent </w:t>
      </w:r>
      <w:r w:rsidR="00863438">
        <w:t>S0</w:t>
      </w:r>
      <w:r w:rsidR="00863438" w:rsidRPr="00863438">
        <w:rPr>
          <w:vertAlign w:val="subscript"/>
        </w:rPr>
        <w:t>2</w:t>
      </w:r>
      <w:r w:rsidR="003759E0">
        <w:t xml:space="preserve"> recovery technologies.</w:t>
      </w:r>
    </w:p>
    <w:p w:rsidR="00A02D22" w:rsidRDefault="00A02D22">
      <w:pPr>
        <w:spacing w:after="200" w:line="276" w:lineRule="auto"/>
      </w:pPr>
    </w:p>
    <w:p w:rsidR="003759E0" w:rsidRDefault="003759E0" w:rsidP="00A02D22">
      <w:pPr>
        <w:keepNext/>
        <w:spacing w:line="276" w:lineRule="auto"/>
      </w:pPr>
    </w:p>
    <w:p w:rsidR="003759E0" w:rsidRDefault="003759E0" w:rsidP="00A02D22">
      <w:pPr>
        <w:keepNext/>
        <w:spacing w:line="276" w:lineRule="auto"/>
      </w:pPr>
    </w:p>
    <w:p w:rsidR="003759E0" w:rsidRDefault="003759E0" w:rsidP="00A02D22">
      <w:pPr>
        <w:keepNext/>
        <w:spacing w:line="276" w:lineRule="auto"/>
      </w:pPr>
    </w:p>
    <w:p w:rsidR="003759E0" w:rsidRDefault="003759E0" w:rsidP="00A02D22">
      <w:pPr>
        <w:keepNext/>
        <w:spacing w:line="276" w:lineRule="auto"/>
      </w:pPr>
    </w:p>
    <w:p w:rsidR="003759E0" w:rsidRDefault="003759E0" w:rsidP="00A02D22">
      <w:pPr>
        <w:keepNext/>
        <w:spacing w:line="276" w:lineRule="auto"/>
      </w:pPr>
    </w:p>
    <w:p w:rsidR="003759E0" w:rsidRDefault="003759E0" w:rsidP="00A02D22">
      <w:pPr>
        <w:keepNext/>
        <w:spacing w:line="276" w:lineRule="auto"/>
      </w:pPr>
    </w:p>
    <w:p w:rsidR="00A02D22" w:rsidRDefault="003759E0" w:rsidP="00A02D22">
      <w:pPr>
        <w:keepNext/>
        <w:spacing w:line="276" w:lineRule="auto"/>
      </w:pPr>
      <w:r>
        <w:rPr>
          <w:noProof/>
          <w:lang w:val="en-US"/>
        </w:rPr>
        <w:drawing>
          <wp:inline distT="0" distB="0" distL="0" distR="0">
            <wp:extent cx="4765079" cy="3600000"/>
            <wp:effectExtent l="19050" t="19050" r="16471" b="19500"/>
            <wp:docPr id="7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0" cstate="print"/>
                    <a:srcRect/>
                    <a:stretch>
                      <a:fillRect/>
                    </a:stretch>
                  </pic:blipFill>
                  <pic:spPr bwMode="auto">
                    <a:xfrm>
                      <a:off x="0" y="0"/>
                      <a:ext cx="4765079"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A02D22" w:rsidRDefault="00A02D22" w:rsidP="00A02D22">
      <w:pPr>
        <w:pStyle w:val="Caption"/>
      </w:pPr>
      <w:bookmarkStart w:id="511" w:name="_Ref326996177"/>
      <w:bookmarkStart w:id="512" w:name="_Toc338703950"/>
      <w:proofErr w:type="gramStart"/>
      <w:r>
        <w:t xml:space="preserve">Figure </w:t>
      </w:r>
      <w:fldSimple w:instr=" SEQ Figure \* ARABIC ">
        <w:r>
          <w:rPr>
            <w:noProof/>
          </w:rPr>
          <w:t>171</w:t>
        </w:r>
      </w:fldSimple>
      <w:bookmarkEnd w:id="511"/>
      <w:r>
        <w:t>.</w:t>
      </w:r>
      <w:proofErr w:type="gramEnd"/>
      <w:r>
        <w:t xml:space="preserve"> Simulated changes in annual production of sul</w:t>
      </w:r>
      <w:r w:rsidR="003759E0">
        <w:t>phur dioxide (S02) in CLFN SA based on recovery of bitumen using small, medium and large sized facilities.</w:t>
      </w:r>
      <w:bookmarkEnd w:id="512"/>
    </w:p>
    <w:p w:rsidR="00A02D22" w:rsidRDefault="003759E0" w:rsidP="00A02D22">
      <w:pPr>
        <w:keepNext/>
        <w:spacing w:line="276" w:lineRule="auto"/>
      </w:pPr>
      <w:r>
        <w:rPr>
          <w:noProof/>
          <w:lang w:val="en-US"/>
        </w:rPr>
        <w:lastRenderedPageBreak/>
        <w:drawing>
          <wp:inline distT="0" distB="0" distL="0" distR="0">
            <wp:extent cx="4777719" cy="3600000"/>
            <wp:effectExtent l="19050" t="19050" r="22881" b="19500"/>
            <wp:docPr id="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1" cstate="print"/>
                    <a:srcRect/>
                    <a:stretch>
                      <a:fillRect/>
                    </a:stretch>
                  </pic:blipFill>
                  <pic:spPr bwMode="auto">
                    <a:xfrm>
                      <a:off x="0" y="0"/>
                      <a:ext cx="4777719"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3759E0" w:rsidRDefault="00A02D22" w:rsidP="003759E0">
      <w:pPr>
        <w:pStyle w:val="Caption"/>
      </w:pPr>
      <w:bookmarkStart w:id="513" w:name="_Ref326997469"/>
      <w:bookmarkStart w:id="514" w:name="_Toc338703951"/>
      <w:proofErr w:type="gramStart"/>
      <w:r>
        <w:t xml:space="preserve">Figure </w:t>
      </w:r>
      <w:fldSimple w:instr=" SEQ Figure \* ARABIC ">
        <w:r>
          <w:rPr>
            <w:noProof/>
          </w:rPr>
          <w:t>172</w:t>
        </w:r>
      </w:fldSimple>
      <w:bookmarkEnd w:id="513"/>
      <w:r>
        <w:t>.</w:t>
      </w:r>
      <w:proofErr w:type="gramEnd"/>
      <w:r>
        <w:t xml:space="preserve"> Simulated changes in </w:t>
      </w:r>
      <w:r w:rsidR="00F20030">
        <w:t>cumulative</w:t>
      </w:r>
      <w:r>
        <w:t xml:space="preserve"> production of sulphur dioxide (S02) in CLFN SA</w:t>
      </w:r>
      <w:r w:rsidR="003759E0">
        <w:t xml:space="preserve"> based on recovery of bitumen using small, medium and large sized facilities.</w:t>
      </w:r>
      <w:bookmarkEnd w:id="514"/>
    </w:p>
    <w:p w:rsidR="00A02D22" w:rsidRDefault="00A02D22" w:rsidP="00A02D22">
      <w:pPr>
        <w:pStyle w:val="Caption"/>
      </w:pPr>
    </w:p>
    <w:p w:rsidR="00A02D22" w:rsidRDefault="00A02D22">
      <w:pPr>
        <w:spacing w:after="200" w:line="276" w:lineRule="auto"/>
        <w:rPr>
          <w:rFonts w:ascii="Arial" w:hAnsi="Arial"/>
          <w:b/>
          <w:kern w:val="28"/>
          <w:lang w:val="en-US"/>
        </w:rPr>
      </w:pPr>
      <w:r>
        <w:br w:type="page"/>
      </w:r>
    </w:p>
    <w:p w:rsidR="00894004" w:rsidRDefault="00894004" w:rsidP="00894004">
      <w:pPr>
        <w:pStyle w:val="Heading3"/>
      </w:pPr>
      <w:bookmarkStart w:id="515" w:name="_Toc338703753"/>
      <w:r>
        <w:lastRenderedPageBreak/>
        <w:t>Edible Berries</w:t>
      </w:r>
      <w:bookmarkEnd w:id="509"/>
      <w:bookmarkEnd w:id="515"/>
    </w:p>
    <w:p w:rsidR="00894004" w:rsidRPr="00655DC8" w:rsidRDefault="00894004" w:rsidP="00894004">
      <w:pPr>
        <w:pStyle w:val="BodyText"/>
        <w:rPr>
          <w:lang w:val="en-US"/>
        </w:rPr>
      </w:pPr>
      <w:r w:rsidRPr="00655DC8">
        <w:rPr>
          <w:lang w:val="en-US"/>
        </w:rPr>
        <w:t xml:space="preserve">The amount and quality of habitat for edible berries varies during the RNV period </w:t>
      </w:r>
      <w:r w:rsidR="003B6796">
        <w:rPr>
          <w:lang w:val="en-US"/>
        </w:rPr>
        <w:t>(</w:t>
      </w:r>
      <w:r w:rsidR="00575CA7">
        <w:rPr>
          <w:lang w:val="en-US"/>
        </w:rPr>
        <w:fldChar w:fldCharType="begin"/>
      </w:r>
      <w:r w:rsidR="003B6796">
        <w:rPr>
          <w:lang w:val="en-US"/>
        </w:rPr>
        <w:instrText xml:space="preserve"> REF _Ref326338183 \h </w:instrText>
      </w:r>
      <w:r w:rsidR="00575CA7">
        <w:rPr>
          <w:lang w:val="en-US"/>
        </w:rPr>
      </w:r>
      <w:r w:rsidR="00575CA7">
        <w:rPr>
          <w:lang w:val="en-US"/>
        </w:rPr>
        <w:fldChar w:fldCharType="separate"/>
      </w:r>
      <w:r w:rsidR="003648B8" w:rsidRPr="00655DC8">
        <w:t xml:space="preserve">Figure </w:t>
      </w:r>
      <w:r w:rsidR="003648B8">
        <w:rPr>
          <w:noProof/>
        </w:rPr>
        <w:t>171</w:t>
      </w:r>
      <w:r w:rsidR="00575CA7">
        <w:rPr>
          <w:lang w:val="en-US"/>
        </w:rPr>
        <w:fldChar w:fldCharType="end"/>
      </w:r>
      <w:r w:rsidR="003B6796">
        <w:rPr>
          <w:lang w:val="en-US"/>
        </w:rPr>
        <w:t xml:space="preserve">) </w:t>
      </w:r>
      <w:r w:rsidRPr="00655DC8">
        <w:rPr>
          <w:lang w:val="en-US"/>
        </w:rPr>
        <w:t>because of inter-annual variation in climate and fire regimes, which in turn, creates variation in forest age class structure.</w:t>
      </w:r>
    </w:p>
    <w:p w:rsidR="00894004" w:rsidRPr="00655DC8" w:rsidRDefault="00F764E9" w:rsidP="00894004">
      <w:pPr>
        <w:pStyle w:val="BodyText"/>
        <w:rPr>
          <w:lang w:val="en-US"/>
        </w:rPr>
      </w:pPr>
      <w:r>
        <w:rPr>
          <w:lang w:val="en-US"/>
        </w:rPr>
        <w:t xml:space="preserve">First Nation communities describe </w:t>
      </w:r>
      <w:r w:rsidR="00894004" w:rsidRPr="00655DC8">
        <w:rPr>
          <w:lang w:val="en-US"/>
        </w:rPr>
        <w:t>that berry integrity (quantity and q</w:t>
      </w:r>
      <w:r>
        <w:rPr>
          <w:lang w:val="en-US"/>
        </w:rPr>
        <w:t>uality of edible berries) is</w:t>
      </w:r>
      <w:r w:rsidR="00894004" w:rsidRPr="00655DC8">
        <w:rPr>
          <w:lang w:val="en-US"/>
        </w:rPr>
        <w:t xml:space="preserve"> reduced by industrial features and activities. One example would be the emission and deposition of dust associated with a high density road network that carries a heavy vehicle transit load (</w:t>
      </w:r>
      <w:fldSimple w:instr=" REF _Ref326244395 \h  \* MERGEFORMAT ">
        <w:r w:rsidR="003648B8" w:rsidRPr="00655DC8">
          <w:t xml:space="preserve">Figure </w:t>
        </w:r>
        <w:r w:rsidR="003648B8">
          <w:rPr>
            <w:noProof/>
          </w:rPr>
          <w:t>172</w:t>
        </w:r>
      </w:fldSimple>
      <w:r w:rsidR="00894004" w:rsidRPr="00655DC8">
        <w:rPr>
          <w:lang w:val="en-US"/>
        </w:rPr>
        <w:t>).  Based on simulations completed in the CLFN ALCES model using buffer setbacks provided by the Integral Ecology Group (</w:t>
      </w:r>
      <w:fldSimple w:instr=" REF _Ref326244486 \h  \* MERGEFORMAT ">
        <w:r w:rsidR="003648B8" w:rsidRPr="00655DC8">
          <w:t xml:space="preserve">Figure </w:t>
        </w:r>
        <w:r w:rsidR="003648B8">
          <w:rPr>
            <w:noProof/>
          </w:rPr>
          <w:t>173</w:t>
        </w:r>
      </w:fldSimple>
      <w:r w:rsidR="00894004" w:rsidRPr="00655DC8">
        <w:rPr>
          <w:lang w:val="en-US"/>
        </w:rPr>
        <w:t>), the integrity of edible berry habitat has declined in CLFN SA during the past century because of direct loss of forest habitat from crops, settlements, roads and the footprint of the energy sector. An indirect loss to berry habitat has also occurred and has been caused by roads which create dust buffers that influence berry productivity. Roads, and other linear features, also increase access of harvesters to berries and can lead to reductions in berry prevalence.</w:t>
      </w:r>
    </w:p>
    <w:p w:rsidR="00894004" w:rsidRPr="00655DC8" w:rsidRDefault="00894004" w:rsidP="00894004">
      <w:pPr>
        <w:pStyle w:val="BodyText"/>
        <w:rPr>
          <w:lang w:val="en-US"/>
        </w:rPr>
      </w:pPr>
      <w:r w:rsidRPr="00655DC8">
        <w:rPr>
          <w:lang w:val="en-US"/>
        </w:rPr>
        <w:t>Significant future direct and indirect loss of edible berry habitat is projected to occur</w:t>
      </w:r>
      <w:r w:rsidR="006D5A9B">
        <w:rPr>
          <w:lang w:val="en-US"/>
        </w:rPr>
        <w:t>,</w:t>
      </w:r>
      <w:r w:rsidRPr="00655DC8">
        <w:rPr>
          <w:lang w:val="en-US"/>
        </w:rPr>
        <w:t xml:space="preserve"> and these losses are attributed to an increase in density of linear features such as wellpad access roads.</w:t>
      </w:r>
    </w:p>
    <w:p w:rsidR="00FF455E" w:rsidRDefault="00FF455E" w:rsidP="00894004">
      <w:pPr>
        <w:pStyle w:val="BodyText"/>
        <w:keepNext/>
        <w:spacing w:after="0"/>
      </w:pPr>
    </w:p>
    <w:p w:rsidR="00FF455E" w:rsidRDefault="00FF455E" w:rsidP="00894004">
      <w:pPr>
        <w:pStyle w:val="BodyText"/>
        <w:keepNext/>
        <w:spacing w:after="0"/>
      </w:pPr>
    </w:p>
    <w:p w:rsidR="00FF455E" w:rsidRDefault="00FF455E" w:rsidP="00894004">
      <w:pPr>
        <w:pStyle w:val="BodyText"/>
        <w:keepNext/>
        <w:spacing w:after="0"/>
      </w:pPr>
    </w:p>
    <w:p w:rsidR="00894004" w:rsidRPr="00655DC8" w:rsidRDefault="00894004" w:rsidP="00894004">
      <w:pPr>
        <w:pStyle w:val="BodyText"/>
        <w:keepNext/>
        <w:spacing w:after="0"/>
      </w:pPr>
      <w:r w:rsidRPr="00655DC8">
        <w:rPr>
          <w:noProof/>
          <w:lang w:val="en-US"/>
        </w:rPr>
        <w:drawing>
          <wp:inline distT="0" distB="0" distL="0" distR="0">
            <wp:extent cx="4724755" cy="3600000"/>
            <wp:effectExtent l="19050" t="19050" r="18695" b="19500"/>
            <wp:docPr id="82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2" cstate="print"/>
                    <a:srcRect/>
                    <a:stretch>
                      <a:fillRect/>
                    </a:stretch>
                  </pic:blipFill>
                  <pic:spPr bwMode="auto">
                    <a:xfrm>
                      <a:off x="0" y="0"/>
                      <a:ext cx="4724755"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Pr="00655DC8" w:rsidRDefault="00894004" w:rsidP="00894004">
      <w:pPr>
        <w:pStyle w:val="Caption"/>
      </w:pPr>
      <w:bookmarkStart w:id="516" w:name="_Ref326338183"/>
      <w:bookmarkStart w:id="517" w:name="_Toc326233071"/>
      <w:bookmarkStart w:id="518" w:name="_Toc338703952"/>
      <w:proofErr w:type="gramStart"/>
      <w:r w:rsidRPr="00655DC8">
        <w:t xml:space="preserve">Figure </w:t>
      </w:r>
      <w:fldSimple w:instr=" SEQ Figure \* ARABIC ">
        <w:r w:rsidR="00A02D22">
          <w:rPr>
            <w:noProof/>
          </w:rPr>
          <w:t>173</w:t>
        </w:r>
      </w:fldSimple>
      <w:bookmarkEnd w:id="516"/>
      <w:r w:rsidRPr="00655DC8">
        <w:t>.</w:t>
      </w:r>
      <w:proofErr w:type="gramEnd"/>
      <w:r w:rsidRPr="00655DC8">
        <w:t xml:space="preserve"> </w:t>
      </w:r>
      <w:proofErr w:type="gramStart"/>
      <w:r w:rsidRPr="00655DC8">
        <w:t>Historical and future projected changes in integrity of edible berry habitat.</w:t>
      </w:r>
      <w:bookmarkEnd w:id="517"/>
      <w:bookmarkEnd w:id="518"/>
      <w:proofErr w:type="gramEnd"/>
    </w:p>
    <w:p w:rsidR="00894004" w:rsidRPr="00655DC8" w:rsidRDefault="00894004" w:rsidP="00894004">
      <w:pPr>
        <w:keepNext/>
      </w:pPr>
      <w:r w:rsidRPr="00655DC8">
        <w:rPr>
          <w:noProof/>
          <w:lang w:val="en-US"/>
        </w:rPr>
        <w:lastRenderedPageBreak/>
        <w:drawing>
          <wp:inline distT="0" distB="0" distL="0" distR="0">
            <wp:extent cx="4766166" cy="3600000"/>
            <wp:effectExtent l="19050" t="19050" r="15384" b="19500"/>
            <wp:docPr id="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cstate="print"/>
                    <a:srcRect/>
                    <a:stretch>
                      <a:fillRect/>
                    </a:stretch>
                  </pic:blipFill>
                  <pic:spPr bwMode="auto">
                    <a:xfrm>
                      <a:off x="0" y="0"/>
                      <a:ext cx="4766166"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E841FB" w:rsidRDefault="00894004" w:rsidP="00E841FB">
      <w:pPr>
        <w:pStyle w:val="Caption"/>
      </w:pPr>
      <w:bookmarkStart w:id="519" w:name="_Ref326244395"/>
      <w:bookmarkStart w:id="520" w:name="_Toc338703953"/>
      <w:proofErr w:type="gramStart"/>
      <w:r w:rsidRPr="00655DC8">
        <w:t xml:space="preserve">Figure </w:t>
      </w:r>
      <w:fldSimple w:instr=" SEQ Figure \* ARABIC ">
        <w:r w:rsidR="00A02D22">
          <w:rPr>
            <w:noProof/>
          </w:rPr>
          <w:t>174</w:t>
        </w:r>
      </w:fldSimple>
      <w:bookmarkEnd w:id="519"/>
      <w:r w:rsidRPr="00655DC8">
        <w:t>.</w:t>
      </w:r>
      <w:proofErr w:type="gramEnd"/>
      <w:r w:rsidRPr="00655DC8">
        <w:t xml:space="preserve"> </w:t>
      </w:r>
      <w:proofErr w:type="gramStart"/>
      <w:r w:rsidRPr="00655DC8">
        <w:t>Examples of research illustrating relationship between road proximity and dust deposition.</w:t>
      </w:r>
      <w:proofErr w:type="gramEnd"/>
      <w:r w:rsidRPr="00655DC8">
        <w:t xml:space="preserve"> Sources: Santelmann and Gorham 1988 and Brown, 2009.</w:t>
      </w:r>
      <w:bookmarkEnd w:id="520"/>
    </w:p>
    <w:p w:rsidR="00FF455E" w:rsidRPr="00FF455E" w:rsidRDefault="00FF455E" w:rsidP="00FF455E">
      <w:pPr>
        <w:rPr>
          <w:lang w:eastAsia="en-CA"/>
        </w:rPr>
      </w:pPr>
    </w:p>
    <w:p w:rsidR="00894004" w:rsidRPr="00655DC8" w:rsidRDefault="00894004" w:rsidP="00894004">
      <w:pPr>
        <w:keepNext/>
      </w:pPr>
      <w:r w:rsidRPr="00655DC8">
        <w:rPr>
          <w:noProof/>
          <w:lang w:val="en-US"/>
        </w:rPr>
        <w:drawing>
          <wp:inline distT="0" distB="0" distL="0" distR="0">
            <wp:extent cx="4793343" cy="3600000"/>
            <wp:effectExtent l="19050" t="19050" r="26307" b="19500"/>
            <wp:docPr id="8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cstate="print"/>
                    <a:srcRect/>
                    <a:stretch>
                      <a:fillRect/>
                    </a:stretch>
                  </pic:blipFill>
                  <pic:spPr bwMode="auto">
                    <a:xfrm>
                      <a:off x="0" y="0"/>
                      <a:ext cx="4793343" cy="3600000"/>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Pr="008F3009" w:rsidRDefault="00894004" w:rsidP="00894004">
      <w:pPr>
        <w:pStyle w:val="Caption"/>
      </w:pPr>
      <w:bookmarkStart w:id="521" w:name="_Ref326244486"/>
      <w:bookmarkStart w:id="522" w:name="_Toc338703954"/>
      <w:proofErr w:type="gramStart"/>
      <w:r w:rsidRPr="00655DC8">
        <w:t xml:space="preserve">Figure </w:t>
      </w:r>
      <w:fldSimple w:instr=" SEQ Figure \* ARABIC ">
        <w:r w:rsidR="00A02D22">
          <w:rPr>
            <w:noProof/>
          </w:rPr>
          <w:t>175</w:t>
        </w:r>
      </w:fldSimple>
      <w:bookmarkEnd w:id="521"/>
      <w:r w:rsidRPr="00655DC8">
        <w:t>.</w:t>
      </w:r>
      <w:proofErr w:type="gramEnd"/>
      <w:r w:rsidRPr="00655DC8">
        <w:t xml:space="preserve"> </w:t>
      </w:r>
      <w:proofErr w:type="gramStart"/>
      <w:r w:rsidRPr="00655DC8">
        <w:t>Estimates of roadside buffers distances that may adversely affect integrity of edible berries.</w:t>
      </w:r>
      <w:proofErr w:type="gramEnd"/>
      <w:r w:rsidRPr="00655DC8">
        <w:t xml:space="preserve"> Source: Integrated Ecology Group (IEG), 2012. </w:t>
      </w:r>
      <w:proofErr w:type="gramStart"/>
      <w:r w:rsidRPr="00655DC8">
        <w:t>Based on work completed by IEG for Fort McKay First Nations.</w:t>
      </w:r>
      <w:bookmarkEnd w:id="522"/>
      <w:proofErr w:type="gramEnd"/>
    </w:p>
    <w:p w:rsidR="00894004" w:rsidRDefault="00894004" w:rsidP="00894004">
      <w:pPr>
        <w:pStyle w:val="Heading2"/>
      </w:pPr>
      <w:bookmarkStart w:id="523" w:name="_Toc326233174"/>
      <w:bookmarkStart w:id="524" w:name="_Toc338703754"/>
      <w:r>
        <w:lastRenderedPageBreak/>
        <w:t>Cultural and Social</w:t>
      </w:r>
      <w:bookmarkEnd w:id="523"/>
      <w:bookmarkEnd w:id="524"/>
    </w:p>
    <w:p w:rsidR="00894004" w:rsidRDefault="00894004" w:rsidP="00894004">
      <w:pPr>
        <w:pStyle w:val="Heading3"/>
      </w:pPr>
      <w:bookmarkStart w:id="525" w:name="_Toc326233176"/>
      <w:bookmarkStart w:id="526" w:name="_Toc338703755"/>
      <w:r>
        <w:t>Access of CLFN to CLFN SA</w:t>
      </w:r>
      <w:bookmarkEnd w:id="525"/>
      <w:bookmarkEnd w:id="526"/>
    </w:p>
    <w:p w:rsidR="00BB0B5F" w:rsidRDefault="00BB0B5F" w:rsidP="00BB0B5F">
      <w:pPr>
        <w:pStyle w:val="BodyText"/>
        <w:rPr>
          <w:lang w:val="en-US"/>
        </w:rPr>
      </w:pPr>
      <w:r>
        <w:rPr>
          <w:lang w:val="en-US"/>
        </w:rPr>
        <w:t xml:space="preserve">During the pre-European era, CLFN had </w:t>
      </w:r>
      <w:r w:rsidR="000C22BD">
        <w:rPr>
          <w:lang w:val="en-US"/>
        </w:rPr>
        <w:t xml:space="preserve">the ability to </w:t>
      </w:r>
      <w:r>
        <w:rPr>
          <w:lang w:val="en-US"/>
        </w:rPr>
        <w:t xml:space="preserve">access all areas within the CLFN SA </w:t>
      </w:r>
      <w:r w:rsidR="007F0499">
        <w:rPr>
          <w:lang w:val="en-US"/>
        </w:rPr>
        <w:t>for</w:t>
      </w:r>
      <w:r>
        <w:rPr>
          <w:lang w:val="en-US"/>
        </w:rPr>
        <w:t xml:space="preserve"> traditional activities (hunting, fishing, </w:t>
      </w:r>
      <w:proofErr w:type="gramStart"/>
      <w:r>
        <w:rPr>
          <w:lang w:val="en-US"/>
        </w:rPr>
        <w:t>gathering</w:t>
      </w:r>
      <w:proofErr w:type="gramEnd"/>
      <w:r>
        <w:rPr>
          <w:lang w:val="en-US"/>
        </w:rPr>
        <w:t xml:space="preserve">). That is not to say that all regions would have been frequented during any given year, for the nomadic nature of their lifestyle would have </w:t>
      </w:r>
      <w:r w:rsidR="007F0499">
        <w:rPr>
          <w:lang w:val="en-US"/>
        </w:rPr>
        <w:t>enabled</w:t>
      </w:r>
      <w:r>
        <w:rPr>
          <w:lang w:val="en-US"/>
        </w:rPr>
        <w:t xml:space="preserve"> CLFN to focus their presence </w:t>
      </w:r>
      <w:r w:rsidR="007F0499">
        <w:rPr>
          <w:lang w:val="en-US"/>
        </w:rPr>
        <w:t>in</w:t>
      </w:r>
      <w:r>
        <w:rPr>
          <w:lang w:val="en-US"/>
        </w:rPr>
        <w:t xml:space="preserve"> those regions that best </w:t>
      </w:r>
      <w:r w:rsidR="007F0499">
        <w:rPr>
          <w:lang w:val="en-US"/>
        </w:rPr>
        <w:t xml:space="preserve">satisfied </w:t>
      </w:r>
      <w:r>
        <w:rPr>
          <w:lang w:val="en-US"/>
        </w:rPr>
        <w:t xml:space="preserve">their resource </w:t>
      </w:r>
      <w:r w:rsidR="007F0499">
        <w:rPr>
          <w:lang w:val="en-US"/>
        </w:rPr>
        <w:t>requirements</w:t>
      </w:r>
      <w:r>
        <w:rPr>
          <w:lang w:val="en-US"/>
        </w:rPr>
        <w:t>.</w:t>
      </w:r>
    </w:p>
    <w:p w:rsidR="00BB0B5F" w:rsidRDefault="00BB0B5F" w:rsidP="00BB0B5F">
      <w:pPr>
        <w:pStyle w:val="BodyText"/>
        <w:rPr>
          <w:lang w:val="en-US"/>
        </w:rPr>
      </w:pPr>
      <w:r>
        <w:rPr>
          <w:lang w:val="en-US"/>
        </w:rPr>
        <w:t>During the past century</w:t>
      </w:r>
      <w:r w:rsidR="00961C86">
        <w:rPr>
          <w:lang w:val="en-US"/>
        </w:rPr>
        <w:t xml:space="preserve"> (1912 to 2012)</w:t>
      </w:r>
      <w:r>
        <w:rPr>
          <w:lang w:val="en-US"/>
        </w:rPr>
        <w:t xml:space="preserve">, access to CLFN SA by CLFN for purposes of traditional activities has been </w:t>
      </w:r>
      <w:r w:rsidR="000C22BD">
        <w:rPr>
          <w:lang w:val="en-US"/>
        </w:rPr>
        <w:t>reduced</w:t>
      </w:r>
      <w:r>
        <w:rPr>
          <w:lang w:val="en-US"/>
        </w:rPr>
        <w:t xml:space="preserve"> by several land uses including:</w:t>
      </w:r>
    </w:p>
    <w:p w:rsidR="00BB0B5F" w:rsidRDefault="00BB0B5F" w:rsidP="00BB0B5F">
      <w:pPr>
        <w:pStyle w:val="BodyText"/>
        <w:numPr>
          <w:ilvl w:val="0"/>
          <w:numId w:val="37"/>
        </w:numPr>
        <w:spacing w:after="60"/>
        <w:ind w:hanging="357"/>
        <w:rPr>
          <w:lang w:val="en-US"/>
        </w:rPr>
      </w:pPr>
      <w:r>
        <w:rPr>
          <w:lang w:val="en-US"/>
        </w:rPr>
        <w:t xml:space="preserve">Expansion of cultivated lands </w:t>
      </w:r>
    </w:p>
    <w:p w:rsidR="00BB0B5F" w:rsidRDefault="00BB0B5F" w:rsidP="00BB0B5F">
      <w:pPr>
        <w:pStyle w:val="BodyText"/>
        <w:numPr>
          <w:ilvl w:val="1"/>
          <w:numId w:val="37"/>
        </w:numPr>
        <w:spacing w:after="60"/>
        <w:rPr>
          <w:lang w:val="en-US"/>
        </w:rPr>
      </w:pPr>
      <w:r>
        <w:rPr>
          <w:lang w:val="en-US"/>
        </w:rPr>
        <w:t>c</w:t>
      </w:r>
      <w:r w:rsidR="000C22BD">
        <w:rPr>
          <w:lang w:val="en-US"/>
        </w:rPr>
        <w:t xml:space="preserve">urrently </w:t>
      </w:r>
      <w:r w:rsidR="007F0499">
        <w:rPr>
          <w:lang w:val="en-US"/>
        </w:rPr>
        <w:t>117,000</w:t>
      </w:r>
      <w:r w:rsidR="000C22BD">
        <w:rPr>
          <w:lang w:val="en-US"/>
        </w:rPr>
        <w:t xml:space="preserve"> ha; </w:t>
      </w:r>
      <w:r w:rsidR="007F0499">
        <w:rPr>
          <w:lang w:val="en-US"/>
        </w:rPr>
        <w:t>10.4</w:t>
      </w:r>
      <w:r w:rsidR="000C22BD">
        <w:rPr>
          <w:lang w:val="en-US"/>
        </w:rPr>
        <w:t>% of CLFN SA</w:t>
      </w:r>
    </w:p>
    <w:p w:rsidR="00BB0B5F" w:rsidRDefault="00BB0B5F" w:rsidP="00BB0B5F">
      <w:pPr>
        <w:pStyle w:val="BodyText"/>
        <w:numPr>
          <w:ilvl w:val="0"/>
          <w:numId w:val="37"/>
        </w:numPr>
        <w:spacing w:after="60"/>
        <w:ind w:hanging="357"/>
        <w:rPr>
          <w:lang w:val="en-US"/>
        </w:rPr>
      </w:pPr>
      <w:r>
        <w:rPr>
          <w:lang w:val="en-US"/>
        </w:rPr>
        <w:t>Expansion of settlements</w:t>
      </w:r>
    </w:p>
    <w:p w:rsidR="00BB0B5F" w:rsidRDefault="00BB0B5F" w:rsidP="00BB0B5F">
      <w:pPr>
        <w:pStyle w:val="BodyText"/>
        <w:numPr>
          <w:ilvl w:val="1"/>
          <w:numId w:val="37"/>
        </w:numPr>
        <w:spacing w:after="60"/>
        <w:rPr>
          <w:lang w:val="en-US"/>
        </w:rPr>
      </w:pPr>
      <w:r>
        <w:rPr>
          <w:lang w:val="en-US"/>
        </w:rPr>
        <w:t xml:space="preserve">Currently </w:t>
      </w:r>
      <w:r w:rsidR="007F0499">
        <w:rPr>
          <w:lang w:val="en-US"/>
        </w:rPr>
        <w:t>8,700</w:t>
      </w:r>
      <w:r w:rsidR="000C22BD">
        <w:rPr>
          <w:lang w:val="en-US"/>
        </w:rPr>
        <w:t xml:space="preserve"> ha; </w:t>
      </w:r>
      <w:r w:rsidR="007F0499">
        <w:rPr>
          <w:lang w:val="en-US"/>
        </w:rPr>
        <w:t>0.8</w:t>
      </w:r>
      <w:r w:rsidR="000C22BD">
        <w:rPr>
          <w:lang w:val="en-US"/>
        </w:rPr>
        <w:t xml:space="preserve"> % of CLFN SA</w:t>
      </w:r>
    </w:p>
    <w:p w:rsidR="00BB0B5F" w:rsidRDefault="00BB0B5F" w:rsidP="00BB0B5F">
      <w:pPr>
        <w:pStyle w:val="BodyText"/>
        <w:numPr>
          <w:ilvl w:val="0"/>
          <w:numId w:val="37"/>
        </w:numPr>
        <w:spacing w:after="60"/>
        <w:ind w:hanging="357"/>
        <w:rPr>
          <w:lang w:val="en-US"/>
        </w:rPr>
      </w:pPr>
      <w:r>
        <w:rPr>
          <w:lang w:val="en-US"/>
        </w:rPr>
        <w:t>Establishment of CLAWR in 1952</w:t>
      </w:r>
    </w:p>
    <w:p w:rsidR="00BB0B5F" w:rsidRDefault="000C22BD" w:rsidP="00BB0B5F">
      <w:pPr>
        <w:pStyle w:val="BodyText"/>
        <w:numPr>
          <w:ilvl w:val="1"/>
          <w:numId w:val="37"/>
        </w:numPr>
        <w:spacing w:after="60"/>
        <w:ind w:hanging="357"/>
        <w:rPr>
          <w:lang w:val="en-US"/>
        </w:rPr>
      </w:pPr>
      <w:r>
        <w:rPr>
          <w:lang w:val="en-US"/>
        </w:rPr>
        <w:t xml:space="preserve"> </w:t>
      </w:r>
      <w:r w:rsidR="007F0499">
        <w:rPr>
          <w:lang w:val="en-US"/>
        </w:rPr>
        <w:t>469,</w:t>
      </w:r>
      <w:r w:rsidR="00961C86">
        <w:rPr>
          <w:lang w:val="en-US"/>
        </w:rPr>
        <w:t xml:space="preserve">577 ha; </w:t>
      </w:r>
      <w:r>
        <w:rPr>
          <w:lang w:val="en-US"/>
        </w:rPr>
        <w:t>41</w:t>
      </w:r>
      <w:r w:rsidR="007F0499">
        <w:rPr>
          <w:lang w:val="en-US"/>
        </w:rPr>
        <w:t>.7</w:t>
      </w:r>
      <w:r>
        <w:rPr>
          <w:lang w:val="en-US"/>
        </w:rPr>
        <w:t>% of CLFN SA</w:t>
      </w:r>
    </w:p>
    <w:p w:rsidR="00BB0B5F" w:rsidRDefault="00BB0B5F" w:rsidP="00BB0B5F">
      <w:pPr>
        <w:pStyle w:val="BodyText"/>
        <w:numPr>
          <w:ilvl w:val="0"/>
          <w:numId w:val="37"/>
        </w:numPr>
        <w:spacing w:after="60"/>
        <w:ind w:hanging="357"/>
        <w:rPr>
          <w:lang w:val="en-US"/>
        </w:rPr>
      </w:pPr>
      <w:r>
        <w:rPr>
          <w:lang w:val="en-US"/>
        </w:rPr>
        <w:t>Effective inaccessibility of regions north of CLAWR in 1952</w:t>
      </w:r>
    </w:p>
    <w:p w:rsidR="00BB0B5F" w:rsidRDefault="00961C86" w:rsidP="00BB0B5F">
      <w:pPr>
        <w:pStyle w:val="BodyText"/>
        <w:numPr>
          <w:ilvl w:val="1"/>
          <w:numId w:val="37"/>
        </w:numPr>
        <w:spacing w:after="60"/>
        <w:ind w:hanging="357"/>
        <w:rPr>
          <w:lang w:val="en-US"/>
        </w:rPr>
      </w:pPr>
      <w:r>
        <w:rPr>
          <w:lang w:val="en-US"/>
        </w:rPr>
        <w:t xml:space="preserve">185,481 ha; </w:t>
      </w:r>
      <w:r w:rsidR="000C22BD">
        <w:rPr>
          <w:lang w:val="en-US"/>
        </w:rPr>
        <w:t>16.6% of CLFN SA</w:t>
      </w:r>
    </w:p>
    <w:p w:rsidR="00BB0B5F" w:rsidRDefault="00BB0B5F" w:rsidP="00BB0B5F">
      <w:pPr>
        <w:pStyle w:val="BodyText"/>
        <w:numPr>
          <w:ilvl w:val="0"/>
          <w:numId w:val="37"/>
        </w:numPr>
        <w:spacing w:after="60"/>
        <w:ind w:hanging="357"/>
        <w:rPr>
          <w:lang w:val="en-US"/>
        </w:rPr>
      </w:pPr>
      <w:r>
        <w:rPr>
          <w:lang w:val="en-US"/>
        </w:rPr>
        <w:t>Establishments of Provincial Parks during the 1960s</w:t>
      </w:r>
    </w:p>
    <w:p w:rsidR="00BB0B5F" w:rsidRDefault="00961C86" w:rsidP="00BB0B5F">
      <w:pPr>
        <w:pStyle w:val="BodyText"/>
        <w:numPr>
          <w:ilvl w:val="1"/>
          <w:numId w:val="37"/>
        </w:numPr>
        <w:spacing w:after="60"/>
        <w:ind w:hanging="357"/>
        <w:rPr>
          <w:lang w:val="en-US"/>
        </w:rPr>
      </w:pPr>
      <w:r>
        <w:rPr>
          <w:lang w:val="en-US"/>
        </w:rPr>
        <w:t xml:space="preserve">6,463 ha; </w:t>
      </w:r>
      <w:r w:rsidR="007F0499">
        <w:rPr>
          <w:lang w:val="en-US"/>
        </w:rPr>
        <w:t>0.6</w:t>
      </w:r>
      <w:r w:rsidR="000C22BD">
        <w:rPr>
          <w:lang w:val="en-US"/>
        </w:rPr>
        <w:t>% of CLFN SA</w:t>
      </w:r>
    </w:p>
    <w:p w:rsidR="007F0499" w:rsidRDefault="007F0499" w:rsidP="00BB0B5F">
      <w:pPr>
        <w:pStyle w:val="BodyText"/>
        <w:rPr>
          <w:lang w:val="en-US"/>
        </w:rPr>
      </w:pPr>
    </w:p>
    <w:p w:rsidR="00BB0B5F" w:rsidRDefault="000C22BD" w:rsidP="00BB0B5F">
      <w:pPr>
        <w:pStyle w:val="BodyText"/>
        <w:rPr>
          <w:lang w:val="en-US"/>
        </w:rPr>
      </w:pPr>
      <w:r>
        <w:rPr>
          <w:lang w:val="en-US"/>
        </w:rPr>
        <w:t xml:space="preserve">Collectively these </w:t>
      </w:r>
      <w:r w:rsidR="007F0499">
        <w:rPr>
          <w:lang w:val="en-US"/>
        </w:rPr>
        <w:t xml:space="preserve">contemporary </w:t>
      </w:r>
      <w:r>
        <w:rPr>
          <w:lang w:val="en-US"/>
        </w:rPr>
        <w:t xml:space="preserve">direct losses of natural landscape, or restriction to </w:t>
      </w:r>
      <w:proofErr w:type="gramStart"/>
      <w:r>
        <w:rPr>
          <w:lang w:val="en-US"/>
        </w:rPr>
        <w:t xml:space="preserve">access </w:t>
      </w:r>
      <w:r w:rsidR="00961C86">
        <w:rPr>
          <w:lang w:val="en-US"/>
        </w:rPr>
        <w:t xml:space="preserve"> of</w:t>
      </w:r>
      <w:proofErr w:type="gramEnd"/>
      <w:r w:rsidR="00961C86">
        <w:rPr>
          <w:lang w:val="en-US"/>
        </w:rPr>
        <w:t xml:space="preserve"> </w:t>
      </w:r>
      <w:r>
        <w:rPr>
          <w:lang w:val="en-US"/>
        </w:rPr>
        <w:t xml:space="preserve">natural landscapes amount to </w:t>
      </w:r>
      <w:r w:rsidR="007F0499">
        <w:rPr>
          <w:lang w:val="en-US"/>
        </w:rPr>
        <w:t>787,221</w:t>
      </w:r>
      <w:r>
        <w:rPr>
          <w:lang w:val="en-US"/>
        </w:rPr>
        <w:t xml:space="preserve"> ha or </w:t>
      </w:r>
      <w:r w:rsidR="007F0499">
        <w:rPr>
          <w:lang w:val="en-US"/>
        </w:rPr>
        <w:t>70.3</w:t>
      </w:r>
      <w:r>
        <w:rPr>
          <w:lang w:val="en-US"/>
        </w:rPr>
        <w:t>% of CLFN SA (</w:t>
      </w:r>
      <w:r w:rsidR="00575CA7">
        <w:rPr>
          <w:lang w:val="en-US"/>
        </w:rPr>
        <w:fldChar w:fldCharType="begin"/>
      </w:r>
      <w:r w:rsidR="00961C86">
        <w:rPr>
          <w:lang w:val="en-US"/>
        </w:rPr>
        <w:instrText xml:space="preserve"> REF _Ref326449189 \h </w:instrText>
      </w:r>
      <w:r w:rsidR="00575CA7">
        <w:rPr>
          <w:lang w:val="en-US"/>
        </w:rPr>
      </w:r>
      <w:r w:rsidR="00575CA7">
        <w:rPr>
          <w:lang w:val="en-US"/>
        </w:rPr>
        <w:fldChar w:fldCharType="separate"/>
      </w:r>
      <w:r w:rsidR="003648B8">
        <w:t xml:space="preserve">Figure </w:t>
      </w:r>
      <w:r w:rsidR="003648B8">
        <w:rPr>
          <w:noProof/>
        </w:rPr>
        <w:t>174</w:t>
      </w:r>
      <w:r w:rsidR="00575CA7">
        <w:rPr>
          <w:lang w:val="en-US"/>
        </w:rPr>
        <w:fldChar w:fldCharType="end"/>
      </w:r>
      <w:r>
        <w:rPr>
          <w:lang w:val="en-US"/>
        </w:rPr>
        <w:t>).</w:t>
      </w:r>
      <w:r w:rsidR="007F0499">
        <w:rPr>
          <w:lang w:val="en-US"/>
        </w:rPr>
        <w:t xml:space="preserve"> These geographic restrictions do not include any lands outside of the above features that are restricted because of infrastructure of the energy sector.</w:t>
      </w:r>
    </w:p>
    <w:p w:rsidR="00961C86" w:rsidRDefault="00961C86" w:rsidP="00BB0B5F">
      <w:pPr>
        <w:pStyle w:val="BodyText"/>
        <w:rPr>
          <w:lang w:val="en-US"/>
        </w:rPr>
      </w:pPr>
      <w:r>
        <w:rPr>
          <w:lang w:val="en-US"/>
        </w:rPr>
        <w:t xml:space="preserve">Participation in traditional activities can be compromised by proximity to infrastructure of the energy sector such as processing plants, wellpads, pipelines, or access roads. </w:t>
      </w:r>
      <w:r w:rsidR="008222D9">
        <w:rPr>
          <w:lang w:val="en-US"/>
        </w:rPr>
        <w:t xml:space="preserve">In many cases, access roads to wellpads and other energy sector infrastructure are gated. </w:t>
      </w:r>
      <w:r>
        <w:rPr>
          <w:lang w:val="en-US"/>
        </w:rPr>
        <w:t>If a 100 m buffer is placed on those energy sector features occurring between CLAWR and the agricultural regions to the south, then the effective loss of natural landscape for traditional activities is further increased to ~80% of CLFN SA.</w:t>
      </w:r>
    </w:p>
    <w:p w:rsidR="008222D9" w:rsidRDefault="008222D9" w:rsidP="00BB0B5F">
      <w:pPr>
        <w:pStyle w:val="BodyText"/>
        <w:rPr>
          <w:lang w:val="en-US"/>
        </w:rPr>
      </w:pPr>
      <w:r>
        <w:rPr>
          <w:lang w:val="en-US"/>
        </w:rPr>
        <w:t>Future simulations indicate that the fraction of the natural landscape accessible to traditional activities will continue to decline because of a rapid expansion in the infrastructure of the bitumen and heavy oil sector. Future levels of access to natural landscapes for traditional activities will continue at very low levels for the next 80-100 years and will only increase once the footprint of the energy sector experiences a significant level of reclamation. This description assumes that access by CLFN to regions north of CLAWR remains difficult.</w:t>
      </w:r>
    </w:p>
    <w:p w:rsidR="007A3FC0" w:rsidRDefault="00961C86" w:rsidP="007A3FC0">
      <w:pPr>
        <w:pStyle w:val="BodyText"/>
        <w:keepNext/>
        <w:spacing w:after="0"/>
      </w:pPr>
      <w:r>
        <w:rPr>
          <w:noProof/>
          <w:lang w:val="en-US"/>
        </w:rPr>
        <w:lastRenderedPageBreak/>
        <w:drawing>
          <wp:inline distT="0" distB="0" distL="0" distR="0">
            <wp:extent cx="5501216" cy="4128916"/>
            <wp:effectExtent l="19050" t="19050" r="23284" b="23984"/>
            <wp:docPr id="7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5" cstate="print"/>
                    <a:srcRect/>
                    <a:stretch>
                      <a:fillRect/>
                    </a:stretch>
                  </pic:blipFill>
                  <pic:spPr bwMode="auto">
                    <a:xfrm>
                      <a:off x="0" y="0"/>
                      <a:ext cx="5505924" cy="4132449"/>
                    </a:xfrm>
                    <a:prstGeom prst="rect">
                      <a:avLst/>
                    </a:prstGeom>
                    <a:noFill/>
                    <a:ln w="25400">
                      <a:solidFill>
                        <a:schemeClr val="tx1"/>
                      </a:solidFill>
                      <a:miter lim="800000"/>
                      <a:headEnd/>
                      <a:tailEnd/>
                    </a:ln>
                    <a:effectLst>
                      <a:innerShdw blurRad="114300">
                        <a:prstClr val="black"/>
                      </a:innerShdw>
                    </a:effectLst>
                  </pic:spPr>
                </pic:pic>
              </a:graphicData>
            </a:graphic>
          </wp:inline>
        </w:drawing>
      </w:r>
    </w:p>
    <w:p w:rsidR="00894004" w:rsidRDefault="00894004" w:rsidP="00894004">
      <w:pPr>
        <w:pStyle w:val="Caption"/>
        <w:rPr>
          <w:lang w:val="en-US"/>
        </w:rPr>
      </w:pPr>
      <w:bookmarkStart w:id="527" w:name="_Ref326449189"/>
      <w:bookmarkStart w:id="528" w:name="_Toc326233073"/>
      <w:bookmarkStart w:id="529" w:name="_Toc338703955"/>
      <w:proofErr w:type="gramStart"/>
      <w:r>
        <w:t xml:space="preserve">Figure </w:t>
      </w:r>
      <w:fldSimple w:instr=" SEQ Figure \* ARABIC ">
        <w:r w:rsidR="00A02D22">
          <w:rPr>
            <w:noProof/>
          </w:rPr>
          <w:t>176</w:t>
        </w:r>
      </w:fldSimple>
      <w:bookmarkEnd w:id="527"/>
      <w:r>
        <w:t>.</w:t>
      </w:r>
      <w:proofErr w:type="gramEnd"/>
      <w:r>
        <w:t xml:space="preserve"> </w:t>
      </w:r>
      <w:proofErr w:type="gramStart"/>
      <w:r>
        <w:t>Simulated historical, current, and future changes in access by CLFN to the CLFN SA for purposes of traditional activities.</w:t>
      </w:r>
      <w:bookmarkEnd w:id="528"/>
      <w:bookmarkEnd w:id="529"/>
      <w:proofErr w:type="gramEnd"/>
    </w:p>
    <w:p w:rsidR="00894004" w:rsidRPr="007C5CB3" w:rsidRDefault="00894004" w:rsidP="00894004">
      <w:pPr>
        <w:pStyle w:val="BodyText"/>
        <w:rPr>
          <w:lang w:val="en-US"/>
        </w:rPr>
      </w:pPr>
    </w:p>
    <w:p w:rsidR="00894004" w:rsidRDefault="00894004" w:rsidP="00894004">
      <w:pPr>
        <w:spacing w:after="200" w:line="276" w:lineRule="auto"/>
        <w:rPr>
          <w:rFonts w:ascii="Arial" w:hAnsi="Arial"/>
          <w:b/>
          <w:caps/>
          <w:kern w:val="28"/>
          <w:lang w:val="en-US"/>
        </w:rPr>
      </w:pPr>
      <w:r>
        <w:br w:type="page"/>
      </w:r>
    </w:p>
    <w:p w:rsidR="00894004" w:rsidRDefault="00894004" w:rsidP="00894004">
      <w:pPr>
        <w:pStyle w:val="Heading1"/>
      </w:pPr>
      <w:bookmarkStart w:id="530" w:name="_Toc326233180"/>
      <w:bookmarkStart w:id="531" w:name="_Toc338703756"/>
      <w:r>
        <w:lastRenderedPageBreak/>
        <w:t>Conclusions</w:t>
      </w:r>
      <w:bookmarkEnd w:id="530"/>
      <w:bookmarkEnd w:id="531"/>
    </w:p>
    <w:p w:rsidR="00894004" w:rsidRDefault="00894004" w:rsidP="00894004">
      <w:pPr>
        <w:pStyle w:val="BodyText"/>
        <w:rPr>
          <w:lang w:val="en-US"/>
        </w:rPr>
      </w:pPr>
      <w:r>
        <w:rPr>
          <w:lang w:val="en-US"/>
        </w:rPr>
        <w:t>The historical, current and future analyses of the CLFN ALCES simulator chronicle the changes to an important and dynamic boreal landscape of east central Alberta. For the vast majority of the past 10,000 years since glacial ice sheets retreated, the major architects of these boreal ecosystems were natural disturbances (fires, insect outbreaks, variance in climate) and the First Nation communities whose nomadic lifestyle was driven by the need to locate, harvest</w:t>
      </w:r>
      <w:r w:rsidR="004C07F8">
        <w:rPr>
          <w:lang w:val="en-US"/>
        </w:rPr>
        <w:t>,</w:t>
      </w:r>
      <w:r>
        <w:rPr>
          <w:lang w:val="en-US"/>
        </w:rPr>
        <w:t xml:space="preserve"> eat</w:t>
      </w:r>
      <w:r w:rsidR="003514EE">
        <w:rPr>
          <w:lang w:val="en-US"/>
        </w:rPr>
        <w:t xml:space="preserve"> and utilize natural resource</w:t>
      </w:r>
      <w:r w:rsidR="004C07F8">
        <w:rPr>
          <w:lang w:val="en-US"/>
        </w:rPr>
        <w:t xml:space="preserve">s (such as </w:t>
      </w:r>
      <w:r w:rsidR="003514EE">
        <w:rPr>
          <w:lang w:val="en-US"/>
        </w:rPr>
        <w:t xml:space="preserve">moose, fish, berries, trees, etc.) for all of their subsistence, spiritual and cultural needs. </w:t>
      </w:r>
      <w:r>
        <w:rPr>
          <w:lang w:val="en-US"/>
        </w:rPr>
        <w:t xml:space="preserve"> </w:t>
      </w:r>
      <w:r w:rsidR="003514EE">
        <w:rPr>
          <w:lang w:val="en-US"/>
        </w:rPr>
        <w:t xml:space="preserve"> </w:t>
      </w:r>
    </w:p>
    <w:p w:rsidR="00894004" w:rsidRDefault="00894004" w:rsidP="00894004">
      <w:pPr>
        <w:pStyle w:val="BodyText"/>
        <w:rPr>
          <w:lang w:val="en-US"/>
        </w:rPr>
      </w:pPr>
      <w:r>
        <w:rPr>
          <w:lang w:val="en-US"/>
        </w:rPr>
        <w:t xml:space="preserve">During the past 100 years CLFN, and the boreal forest landscape on which they </w:t>
      </w:r>
      <w:r w:rsidR="00BA3AD0">
        <w:rPr>
          <w:lang w:val="en-US"/>
        </w:rPr>
        <w:t>pursue their traditional activities</w:t>
      </w:r>
      <w:r>
        <w:rPr>
          <w:lang w:val="en-US"/>
        </w:rPr>
        <w:t xml:space="preserve">, have experienced a transformation that can only be described as profound. The physical features of the landscape and the cultural fabric of native peoples have been altered by a suite of consecutive </w:t>
      </w:r>
      <w:r w:rsidR="00C544DE">
        <w:rPr>
          <w:lang w:val="en-US"/>
        </w:rPr>
        <w:t>land-use</w:t>
      </w:r>
      <w:r>
        <w:rPr>
          <w:lang w:val="en-US"/>
        </w:rPr>
        <w:t xml:space="preserve"> trajectories that include trapping, European religions, agriculture, residential schooling, transportation, non-aboriginal settlements, military, and the hydrocarbon sector.</w:t>
      </w:r>
    </w:p>
    <w:p w:rsidR="00894004" w:rsidRDefault="00894004" w:rsidP="00894004">
      <w:pPr>
        <w:pStyle w:val="BodyText"/>
        <w:rPr>
          <w:lang w:val="en-US"/>
        </w:rPr>
      </w:pPr>
      <w:r>
        <w:rPr>
          <w:lang w:val="en-US"/>
        </w:rPr>
        <w:t xml:space="preserve">As the past century </w:t>
      </w:r>
      <w:r w:rsidR="00BA3AD0">
        <w:rPr>
          <w:lang w:val="en-US"/>
        </w:rPr>
        <w:t xml:space="preserve">has </w:t>
      </w:r>
      <w:r>
        <w:rPr>
          <w:lang w:val="en-US"/>
        </w:rPr>
        <w:t xml:space="preserve">unfolded, the ability of CLFN to participate meaningfully in traditional activities has been </w:t>
      </w:r>
      <w:r w:rsidR="00BA3AD0">
        <w:rPr>
          <w:lang w:val="en-US"/>
        </w:rPr>
        <w:t>substantively</w:t>
      </w:r>
      <w:r w:rsidR="003514EE">
        <w:rPr>
          <w:lang w:val="en-US"/>
        </w:rPr>
        <w:t xml:space="preserve"> </w:t>
      </w:r>
      <w:r>
        <w:rPr>
          <w:lang w:val="en-US"/>
        </w:rPr>
        <w:t xml:space="preserve">eroded. Some </w:t>
      </w:r>
      <w:r w:rsidR="00C544DE">
        <w:rPr>
          <w:lang w:val="en-US"/>
        </w:rPr>
        <w:t>land-use</w:t>
      </w:r>
      <w:r>
        <w:rPr>
          <w:lang w:val="en-US"/>
        </w:rPr>
        <w:t xml:space="preserve">s, such as croplands and </w:t>
      </w:r>
      <w:r w:rsidR="003514EE">
        <w:rPr>
          <w:lang w:val="en-US"/>
        </w:rPr>
        <w:t>parks</w:t>
      </w:r>
      <w:r w:rsidR="00BA3AD0">
        <w:rPr>
          <w:lang w:val="en-US"/>
        </w:rPr>
        <w:t>, are</w:t>
      </w:r>
      <w:r>
        <w:rPr>
          <w:lang w:val="en-US"/>
        </w:rPr>
        <w:t xml:space="preserve"> </w:t>
      </w:r>
      <w:r w:rsidR="003514EE">
        <w:rPr>
          <w:lang w:val="en-US"/>
        </w:rPr>
        <w:t xml:space="preserve">partially </w:t>
      </w:r>
      <w:r>
        <w:rPr>
          <w:lang w:val="en-US"/>
        </w:rPr>
        <w:t>available to CLFN</w:t>
      </w:r>
      <w:r w:rsidR="00BA3AD0">
        <w:rPr>
          <w:lang w:val="en-US"/>
        </w:rPr>
        <w:t>,</w:t>
      </w:r>
      <w:r>
        <w:rPr>
          <w:lang w:val="en-US"/>
        </w:rPr>
        <w:t xml:space="preserve"> but are not conducive to traditional activities. Others, such as the military (CLAWR) and the energy sector, create impediments or barriers that prevent CLFN from accessing vestiges of natural landscapes. When considered in total, these overlapping </w:t>
      </w:r>
      <w:r w:rsidR="00C544DE">
        <w:rPr>
          <w:lang w:val="en-US"/>
        </w:rPr>
        <w:t>land-use</w:t>
      </w:r>
      <w:r>
        <w:rPr>
          <w:lang w:val="en-US"/>
        </w:rPr>
        <w:t>s have restricted the CLFN community to a very small fracti</w:t>
      </w:r>
      <w:r w:rsidR="003514EE">
        <w:rPr>
          <w:lang w:val="en-US"/>
        </w:rPr>
        <w:t xml:space="preserve">on of their original </w:t>
      </w:r>
      <w:r w:rsidR="009E6DB7">
        <w:rPr>
          <w:lang w:val="en-US"/>
        </w:rPr>
        <w:t>Traditional Territory</w:t>
      </w:r>
      <w:r>
        <w:rPr>
          <w:lang w:val="en-US"/>
        </w:rPr>
        <w:t>.</w:t>
      </w:r>
    </w:p>
    <w:p w:rsidR="00894004" w:rsidRDefault="00894004" w:rsidP="00894004">
      <w:pPr>
        <w:pStyle w:val="BodyText"/>
        <w:rPr>
          <w:lang w:val="en-US"/>
        </w:rPr>
      </w:pPr>
      <w:r>
        <w:rPr>
          <w:lang w:val="en-US"/>
        </w:rPr>
        <w:t xml:space="preserve">The adaptive nature of the CLFN </w:t>
      </w:r>
      <w:r w:rsidR="003514EE">
        <w:rPr>
          <w:lang w:val="en-US"/>
        </w:rPr>
        <w:t xml:space="preserve">people </w:t>
      </w:r>
      <w:r>
        <w:rPr>
          <w:lang w:val="en-US"/>
        </w:rPr>
        <w:t xml:space="preserve">to their pre-European boreal landscape was based on the key elements of “meaningful” space and time. </w:t>
      </w:r>
      <w:r w:rsidR="00BA3AD0">
        <w:rPr>
          <w:lang w:val="en-US"/>
        </w:rPr>
        <w:t>They</w:t>
      </w:r>
      <w:r>
        <w:rPr>
          <w:lang w:val="en-US"/>
        </w:rPr>
        <w:t xml:space="preserve"> required an extensive landscape over which to seek and use resources. No single portion </w:t>
      </w:r>
      <w:r w:rsidR="00873F5C">
        <w:rPr>
          <w:lang w:val="en-US"/>
        </w:rPr>
        <w:t>of their Traditional T</w:t>
      </w:r>
      <w:r w:rsidR="003514EE">
        <w:rPr>
          <w:lang w:val="en-US"/>
        </w:rPr>
        <w:t>erritory</w:t>
      </w:r>
      <w:r>
        <w:rPr>
          <w:lang w:val="en-US"/>
        </w:rPr>
        <w:t xml:space="preserve"> met their full seasonal and annual requirements for fish, moose, berries</w:t>
      </w:r>
      <w:r w:rsidR="009E6DB7">
        <w:rPr>
          <w:lang w:val="en-US"/>
        </w:rPr>
        <w:t>, and other resources</w:t>
      </w:r>
      <w:r w:rsidR="00873F5C">
        <w:rPr>
          <w:lang w:val="en-US"/>
        </w:rPr>
        <w:t xml:space="preserve">. As a result, </w:t>
      </w:r>
      <w:r>
        <w:rPr>
          <w:lang w:val="en-US"/>
        </w:rPr>
        <w:t>family clans would have been highly mobile, residing in regions until local foods were depleted, and then moving to new locations to allow for resource rec</w:t>
      </w:r>
      <w:r w:rsidR="00BA3AD0">
        <w:rPr>
          <w:lang w:val="en-US"/>
        </w:rPr>
        <w:t xml:space="preserve">overy. Some </w:t>
      </w:r>
      <w:r>
        <w:rPr>
          <w:lang w:val="en-US"/>
        </w:rPr>
        <w:t xml:space="preserve">of these patterns would have been </w:t>
      </w:r>
      <w:r w:rsidR="003514EE">
        <w:rPr>
          <w:lang w:val="en-US"/>
        </w:rPr>
        <w:t>seasonal;</w:t>
      </w:r>
      <w:r>
        <w:rPr>
          <w:lang w:val="en-US"/>
        </w:rPr>
        <w:t xml:space="preserve"> other movements might reflect decadal periods. The spatial-temporal system that defined the CLFN </w:t>
      </w:r>
      <w:r w:rsidR="003514EE">
        <w:rPr>
          <w:lang w:val="en-US"/>
        </w:rPr>
        <w:t xml:space="preserve">people </w:t>
      </w:r>
      <w:r>
        <w:rPr>
          <w:lang w:val="en-US"/>
        </w:rPr>
        <w:t xml:space="preserve">for millennia no longer exists. Hemmed in by croplands to the south and an air weapons </w:t>
      </w:r>
      <w:r w:rsidR="003514EE">
        <w:rPr>
          <w:lang w:val="en-US"/>
        </w:rPr>
        <w:t>range</w:t>
      </w:r>
      <w:r>
        <w:rPr>
          <w:lang w:val="en-US"/>
        </w:rPr>
        <w:t xml:space="preserve"> to the north, the CLFN community of today has very few remaining areas on which to participate in traditional activities. Not surprisingly, these natural landscape remnants experience high levels </w:t>
      </w:r>
      <w:r w:rsidR="00DF73FB">
        <w:rPr>
          <w:lang w:val="en-US"/>
        </w:rPr>
        <w:t>of traditional resource use</w:t>
      </w:r>
      <w:r w:rsidR="003514EE">
        <w:rPr>
          <w:lang w:val="en-US"/>
        </w:rPr>
        <w:t xml:space="preserve"> and may be </w:t>
      </w:r>
      <w:r>
        <w:rPr>
          <w:lang w:val="en-US"/>
        </w:rPr>
        <w:t xml:space="preserve">readily over-exploited. No longer able to access their traditional lands extensively, </w:t>
      </w:r>
      <w:r w:rsidR="003514EE">
        <w:rPr>
          <w:lang w:val="en-US"/>
        </w:rPr>
        <w:t>CLFN have</w:t>
      </w:r>
      <w:r>
        <w:rPr>
          <w:lang w:val="en-US"/>
        </w:rPr>
        <w:t xml:space="preserve"> few remaining venues to satisfy the existing appetite for traditional activity. </w:t>
      </w:r>
      <w:r w:rsidR="00794F48">
        <w:rPr>
          <w:lang w:val="en-US"/>
        </w:rPr>
        <w:t xml:space="preserve"> </w:t>
      </w:r>
    </w:p>
    <w:p w:rsidR="00894004" w:rsidRDefault="00894004" w:rsidP="00894004">
      <w:pPr>
        <w:pStyle w:val="BodyText"/>
        <w:rPr>
          <w:lang w:val="en-US"/>
        </w:rPr>
      </w:pPr>
      <w:r>
        <w:rPr>
          <w:lang w:val="en-US"/>
        </w:rPr>
        <w:t xml:space="preserve">However, time is not standing still and neither is </w:t>
      </w:r>
      <w:r w:rsidR="00C544DE">
        <w:rPr>
          <w:lang w:val="en-US"/>
        </w:rPr>
        <w:t>land-use</w:t>
      </w:r>
      <w:r w:rsidR="00DF73FB">
        <w:rPr>
          <w:lang w:val="en-US"/>
        </w:rPr>
        <w:t>. As much as the CLFN Traditional T</w:t>
      </w:r>
      <w:r w:rsidR="003514EE">
        <w:rPr>
          <w:lang w:val="en-US"/>
        </w:rPr>
        <w:t>erritory</w:t>
      </w:r>
      <w:r>
        <w:rPr>
          <w:lang w:val="en-US"/>
        </w:rPr>
        <w:t xml:space="preserve"> has changed during the past 100 years, current plans for future </w:t>
      </w:r>
      <w:r w:rsidR="00C544DE">
        <w:rPr>
          <w:lang w:val="en-US"/>
        </w:rPr>
        <w:t>land-use</w:t>
      </w:r>
      <w:r>
        <w:rPr>
          <w:lang w:val="en-US"/>
        </w:rPr>
        <w:t xml:space="preserve"> reveal expansion of croplands onto those remaining forests with arable soils to the south, expanding towns and rural residential, and a rapidly growing network of seismic lines, wellpads, access roads, pipelines and processing plants as the hydrocarbon sector delineates, extracts, processes and translocate</w:t>
      </w:r>
      <w:r w:rsidR="003735A6">
        <w:rPr>
          <w:lang w:val="en-US"/>
        </w:rPr>
        <w:t>s</w:t>
      </w:r>
      <w:r>
        <w:rPr>
          <w:lang w:val="en-US"/>
        </w:rPr>
        <w:t xml:space="preserve"> bitumen and heavy oil to southern markets. In a cumulative sense,</w:t>
      </w:r>
      <w:r w:rsidR="003514EE">
        <w:rPr>
          <w:lang w:val="en-US"/>
        </w:rPr>
        <w:t xml:space="preserve"> the boreal landscape of CLFN </w:t>
      </w:r>
      <w:r w:rsidR="00D756AF">
        <w:rPr>
          <w:lang w:val="en-US"/>
        </w:rPr>
        <w:t>Traditional Territory</w:t>
      </w:r>
      <w:r>
        <w:rPr>
          <w:lang w:val="en-US"/>
        </w:rPr>
        <w:t xml:space="preserve"> will continue its transformation, </w:t>
      </w:r>
      <w:r>
        <w:rPr>
          <w:lang w:val="en-US"/>
        </w:rPr>
        <w:lastRenderedPageBreak/>
        <w:t>incrementally losing what remains of its “naturalness”, incrementally becoming more industrial</w:t>
      </w:r>
      <w:r w:rsidR="00BA3AD0">
        <w:rPr>
          <w:lang w:val="en-US"/>
        </w:rPr>
        <w:t>ized</w:t>
      </w:r>
      <w:r>
        <w:rPr>
          <w:lang w:val="en-US"/>
        </w:rPr>
        <w:t xml:space="preserve"> with each passing year.</w:t>
      </w:r>
    </w:p>
    <w:p w:rsidR="00894004" w:rsidRDefault="00894004" w:rsidP="00894004">
      <w:pPr>
        <w:pStyle w:val="BodyText"/>
        <w:rPr>
          <w:lang w:val="en-US"/>
        </w:rPr>
      </w:pPr>
      <w:r>
        <w:rPr>
          <w:lang w:val="en-US"/>
        </w:rPr>
        <w:t xml:space="preserve">The focus of most EIAs is myopic in space and time and fails stakeholders by not contributing to an informed dialogue about both the benefits and liabilities that attend </w:t>
      </w:r>
      <w:r w:rsidR="00C544DE">
        <w:rPr>
          <w:lang w:val="en-US"/>
        </w:rPr>
        <w:t>land-use</w:t>
      </w:r>
      <w:r w:rsidR="003514EE">
        <w:rPr>
          <w:lang w:val="en-US"/>
        </w:rPr>
        <w:t xml:space="preserve">. Clearly </w:t>
      </w:r>
      <w:r w:rsidR="00BA3AD0">
        <w:rPr>
          <w:lang w:val="en-US"/>
        </w:rPr>
        <w:t>CLFN feel</w:t>
      </w:r>
      <w:r>
        <w:rPr>
          <w:lang w:val="en-US"/>
        </w:rPr>
        <w:t xml:space="preserve"> they </w:t>
      </w:r>
      <w:r w:rsidR="003514EE">
        <w:rPr>
          <w:lang w:val="en-US"/>
        </w:rPr>
        <w:t xml:space="preserve">are subject to a </w:t>
      </w:r>
      <w:r>
        <w:rPr>
          <w:lang w:val="en-US"/>
        </w:rPr>
        <w:t xml:space="preserve">constrained </w:t>
      </w:r>
      <w:r w:rsidR="003514EE">
        <w:rPr>
          <w:lang w:val="en-US"/>
        </w:rPr>
        <w:t xml:space="preserve">regulatory </w:t>
      </w:r>
      <w:r>
        <w:rPr>
          <w:lang w:val="en-US"/>
        </w:rPr>
        <w:t xml:space="preserve">view of resource </w:t>
      </w:r>
      <w:proofErr w:type="gramStart"/>
      <w:r>
        <w:rPr>
          <w:lang w:val="en-US"/>
        </w:rPr>
        <w:t>allocation</w:t>
      </w:r>
      <w:proofErr w:type="gramEnd"/>
      <w:r w:rsidR="00BA3AD0">
        <w:rPr>
          <w:lang w:val="en-US"/>
        </w:rPr>
        <w:t>,</w:t>
      </w:r>
      <w:r>
        <w:rPr>
          <w:lang w:val="en-US"/>
        </w:rPr>
        <w:t xml:space="preserve"> and </w:t>
      </w:r>
      <w:r w:rsidR="00BA3AD0">
        <w:rPr>
          <w:lang w:val="en-US"/>
        </w:rPr>
        <w:t xml:space="preserve">have been </w:t>
      </w:r>
      <w:r>
        <w:rPr>
          <w:lang w:val="en-US"/>
        </w:rPr>
        <w:t xml:space="preserve">unable to </w:t>
      </w:r>
      <w:r w:rsidR="003514EE">
        <w:rPr>
          <w:lang w:val="en-US"/>
        </w:rPr>
        <w:t xml:space="preserve">adequately </w:t>
      </w:r>
      <w:r>
        <w:rPr>
          <w:lang w:val="en-US"/>
        </w:rPr>
        <w:t>express their concerns within a framework that is structured for the specific detail of individual projects</w:t>
      </w:r>
      <w:r w:rsidR="000B349A">
        <w:rPr>
          <w:lang w:val="en-US"/>
        </w:rPr>
        <w:t>,</w:t>
      </w:r>
      <w:r>
        <w:rPr>
          <w:lang w:val="en-US"/>
        </w:rPr>
        <w:t xml:space="preserve"> </w:t>
      </w:r>
      <w:r w:rsidR="00BA3AD0">
        <w:rPr>
          <w:lang w:val="en-US"/>
        </w:rPr>
        <w:t>but</w:t>
      </w:r>
      <w:r>
        <w:rPr>
          <w:lang w:val="en-US"/>
        </w:rPr>
        <w:t xml:space="preserve"> </w:t>
      </w:r>
      <w:r w:rsidR="00BA3AD0">
        <w:rPr>
          <w:lang w:val="en-US"/>
        </w:rPr>
        <w:t>largely blind to the bigger</w:t>
      </w:r>
      <w:r>
        <w:rPr>
          <w:lang w:val="en-US"/>
        </w:rPr>
        <w:t xml:space="preserve"> picture.</w:t>
      </w:r>
    </w:p>
    <w:p w:rsidR="00894004" w:rsidRDefault="00894004" w:rsidP="00894004">
      <w:pPr>
        <w:pStyle w:val="BodyText"/>
        <w:rPr>
          <w:lang w:val="en-US"/>
        </w:rPr>
      </w:pPr>
      <w:r>
        <w:rPr>
          <w:lang w:val="en-US"/>
        </w:rPr>
        <w:t xml:space="preserve">As resource managers, we can and must do better in the arena of </w:t>
      </w:r>
      <w:r w:rsidR="00C544DE">
        <w:rPr>
          <w:lang w:val="en-US"/>
        </w:rPr>
        <w:t>land-use</w:t>
      </w:r>
      <w:r>
        <w:rPr>
          <w:lang w:val="en-US"/>
        </w:rPr>
        <w:t xml:space="preserve"> assessment</w:t>
      </w:r>
      <w:r w:rsidR="003514EE">
        <w:rPr>
          <w:lang w:val="en-US"/>
        </w:rPr>
        <w:t xml:space="preserve"> and resource allocation between industry and First Natio</w:t>
      </w:r>
      <w:r w:rsidR="002E1D04">
        <w:rPr>
          <w:lang w:val="en-US"/>
        </w:rPr>
        <w:t>ns</w:t>
      </w:r>
      <w:r>
        <w:rPr>
          <w:lang w:val="en-US"/>
        </w:rPr>
        <w:t>, for we are no longer constrain</w:t>
      </w:r>
      <w:r w:rsidR="009E6DB7">
        <w:rPr>
          <w:lang w:val="en-US"/>
        </w:rPr>
        <w:t xml:space="preserve">ed by technology or knowledge. Our </w:t>
      </w:r>
      <w:r w:rsidR="000B349A">
        <w:rPr>
          <w:lang w:val="en-US"/>
        </w:rPr>
        <w:t xml:space="preserve">only constraints are </w:t>
      </w:r>
      <w:r w:rsidR="009E6DB7">
        <w:rPr>
          <w:lang w:val="en-US"/>
        </w:rPr>
        <w:t>political leadership and regulatory vision.</w:t>
      </w:r>
    </w:p>
    <w:p w:rsidR="00280E57" w:rsidRDefault="00280E57">
      <w:pPr>
        <w:spacing w:after="200" w:line="276" w:lineRule="auto"/>
        <w:rPr>
          <w:rFonts w:ascii="Arial" w:hAnsi="Arial"/>
          <w:b/>
          <w:caps/>
          <w:kern w:val="28"/>
          <w:sz w:val="28"/>
          <w:lang w:val="en-US"/>
        </w:rPr>
      </w:pPr>
      <w:r>
        <w:br w:type="page"/>
      </w:r>
    </w:p>
    <w:p w:rsidR="0034470F" w:rsidRDefault="00596CC2" w:rsidP="0034470F">
      <w:pPr>
        <w:pStyle w:val="Heading1"/>
      </w:pPr>
      <w:bookmarkStart w:id="532" w:name="_Toc257890116"/>
      <w:bookmarkStart w:id="533" w:name="_Toc260385217"/>
      <w:bookmarkStart w:id="534" w:name="_Toc338703757"/>
      <w:r>
        <w:lastRenderedPageBreak/>
        <w:t>Limitations and Important C</w:t>
      </w:r>
      <w:r w:rsidR="0034470F">
        <w:t>onsiderations</w:t>
      </w:r>
      <w:bookmarkEnd w:id="532"/>
      <w:bookmarkEnd w:id="533"/>
      <w:bookmarkEnd w:id="534"/>
    </w:p>
    <w:p w:rsidR="0034470F" w:rsidRDefault="0034470F" w:rsidP="0034470F">
      <w:pPr>
        <w:pStyle w:val="Heading2"/>
      </w:pPr>
      <w:bookmarkStart w:id="535" w:name="_Toc257890117"/>
      <w:bookmarkStart w:id="536" w:name="_Toc260385218"/>
      <w:bookmarkStart w:id="537" w:name="_Toc338703758"/>
      <w:r>
        <w:t>Future Conditions</w:t>
      </w:r>
      <w:bookmarkEnd w:id="535"/>
      <w:bookmarkEnd w:id="536"/>
      <w:bookmarkEnd w:id="537"/>
    </w:p>
    <w:p w:rsidR="0034470F" w:rsidRPr="00980CA7" w:rsidRDefault="0034470F" w:rsidP="0034470F">
      <w:pPr>
        <w:pStyle w:val="BodyText"/>
      </w:pPr>
      <w:r w:rsidRPr="00980CA7">
        <w:t xml:space="preserve">Future </w:t>
      </w:r>
      <w:r w:rsidR="00C544DE">
        <w:t>land-use</w:t>
      </w:r>
      <w:r w:rsidRPr="00980CA7">
        <w:t xml:space="preserve"> projections </w:t>
      </w:r>
      <w:r>
        <w:t xml:space="preserve">can </w:t>
      </w:r>
      <w:r w:rsidRPr="00980CA7">
        <w:t>have high l</w:t>
      </w:r>
      <w:r>
        <w:t xml:space="preserve">evels of uncertainty.  The </w:t>
      </w:r>
      <w:r w:rsidR="00C544DE">
        <w:t>land-use</w:t>
      </w:r>
      <w:r w:rsidRPr="00980CA7">
        <w:t xml:space="preserve"> </w:t>
      </w:r>
      <w:r>
        <w:t xml:space="preserve">scenarios examined for CLFN SA </w:t>
      </w:r>
      <w:r w:rsidRPr="00980CA7">
        <w:t xml:space="preserve">are based on specific assumptions about the rate, location and operating practices of </w:t>
      </w:r>
      <w:r>
        <w:t xml:space="preserve">various </w:t>
      </w:r>
      <w:r w:rsidR="00C544DE">
        <w:t>land-use</w:t>
      </w:r>
      <w:r w:rsidRPr="00980CA7">
        <w:t xml:space="preserve"> activities.  Government policy, global commodity prices, trends in energy supply and transportation infrastructure, and technological innovation all have significant effects on the intens</w:t>
      </w:r>
      <w:r>
        <w:t xml:space="preserve">ity and location of future </w:t>
      </w:r>
      <w:r w:rsidR="00C544DE">
        <w:t>land-use</w:t>
      </w:r>
      <w:r w:rsidRPr="00980CA7">
        <w:t xml:space="preserve"> activities.  It i</w:t>
      </w:r>
      <w:r>
        <w:t xml:space="preserve">s highly probable that the </w:t>
      </w:r>
      <w:r w:rsidR="00C544DE">
        <w:t>land-use</w:t>
      </w:r>
      <w:r w:rsidRPr="00980CA7">
        <w:t xml:space="preserve"> assumptions upon which </w:t>
      </w:r>
      <w:r>
        <w:t>the scenario modelling</w:t>
      </w:r>
      <w:r w:rsidRPr="00980CA7">
        <w:t xml:space="preserve"> is based will </w:t>
      </w:r>
      <w:r w:rsidR="0037633D">
        <w:t>become less robust as the</w:t>
      </w:r>
      <w:r>
        <w:t xml:space="preserve"> future</w:t>
      </w:r>
      <w:r w:rsidR="0037633D">
        <w:t xml:space="preserve"> simulation period</w:t>
      </w:r>
      <w:r w:rsidR="000B349A">
        <w:t xml:space="preserve"> unfolds</w:t>
      </w:r>
      <w:r w:rsidR="0037633D">
        <w:t>.</w:t>
      </w:r>
    </w:p>
    <w:p w:rsidR="0034470F" w:rsidRPr="00980CA7" w:rsidRDefault="0034470F" w:rsidP="0034470F">
      <w:pPr>
        <w:pStyle w:val="BodyText"/>
      </w:pPr>
      <w:r w:rsidRPr="00980CA7">
        <w:t xml:space="preserve">While changing future conditions are a near certainty, examining plausible futures based on current assumptions allows </w:t>
      </w:r>
      <w:r w:rsidR="0037633D">
        <w:t xml:space="preserve">stakeholders to better understand </w:t>
      </w:r>
      <w:r w:rsidRPr="00980CA7">
        <w:t xml:space="preserve">potential benefits and </w:t>
      </w:r>
      <w:r w:rsidR="0037633D">
        <w:t>risks that attend defined alternative land management options</w:t>
      </w:r>
      <w:r w:rsidRPr="00980CA7">
        <w:t xml:space="preserve">.  </w:t>
      </w:r>
      <w:r>
        <w:t>For</w:t>
      </w:r>
      <w:r w:rsidR="0037633D">
        <w:t xml:space="preserve"> the various governing bodies (Canada, Alberta, </w:t>
      </w:r>
      <w:proofErr w:type="gramStart"/>
      <w:r w:rsidR="0037633D">
        <w:t>CLFN</w:t>
      </w:r>
      <w:proofErr w:type="gramEnd"/>
      <w:r w:rsidR="0037633D">
        <w:t xml:space="preserve">) that are relevant to this region, a </w:t>
      </w:r>
      <w:r w:rsidRPr="00980CA7">
        <w:t xml:space="preserve">decision-making framework is critical to developing and implementing sustainable land management strategies that can be re-evaluated as circumstances change.  Similar to the precautionary principle, uncertainty about future </w:t>
      </w:r>
      <w:r w:rsidR="00C544DE">
        <w:t>land-use</w:t>
      </w:r>
      <w:r w:rsidRPr="00980CA7">
        <w:t xml:space="preserve"> activities should not </w:t>
      </w:r>
      <w:r>
        <w:t>prevent informed decision-making today</w:t>
      </w:r>
      <w:r w:rsidRPr="00980CA7">
        <w:t>.</w:t>
      </w:r>
    </w:p>
    <w:p w:rsidR="0034470F" w:rsidRDefault="0034470F" w:rsidP="0034470F">
      <w:pPr>
        <w:pStyle w:val="Heading2"/>
      </w:pPr>
      <w:bookmarkStart w:id="538" w:name="_Toc257890118"/>
      <w:bookmarkStart w:id="539" w:name="_Toc260385219"/>
      <w:bookmarkStart w:id="540" w:name="_Toc338703759"/>
      <w:r>
        <w:t>Impact Prediction and Significance</w:t>
      </w:r>
      <w:bookmarkEnd w:id="538"/>
      <w:bookmarkEnd w:id="539"/>
      <w:bookmarkEnd w:id="540"/>
    </w:p>
    <w:p w:rsidR="0034470F" w:rsidRPr="001F2B73" w:rsidRDefault="0034470F" w:rsidP="0034470F">
      <w:pPr>
        <w:pStyle w:val="BodyText"/>
      </w:pPr>
      <w:r w:rsidRPr="00F870C7">
        <w:t xml:space="preserve">Projected wildlife and fish status under different development assumptions is compared to simulated </w:t>
      </w:r>
      <w:r>
        <w:t>RNV</w:t>
      </w:r>
      <w:r w:rsidRPr="00F870C7">
        <w:t xml:space="preserve"> to provide some information on the ecological risk associated with projected changes.  This approach assumes that risk is minimal where indicator status is within the </w:t>
      </w:r>
      <w:r>
        <w:t>RNV</w:t>
      </w:r>
      <w:r w:rsidRPr="00F870C7">
        <w:t xml:space="preserve">, and increases as indicator status moves further away from 'natural' </w:t>
      </w:r>
      <w:r w:rsidRPr="00D647B1">
        <w:t xml:space="preserve">conditions.  </w:t>
      </w:r>
      <w:r w:rsidRPr="00872F87">
        <w:t>The risk management categories presented</w:t>
      </w:r>
      <w:r w:rsidRPr="00D647B1">
        <w:t xml:space="preserve"> here were utilized </w:t>
      </w:r>
      <w:r>
        <w:t>for</w:t>
      </w:r>
      <w:r w:rsidRPr="00F870C7">
        <w:t xml:space="preserve"> </w:t>
      </w:r>
      <w:r w:rsidR="00C544DE">
        <w:t>land-use</w:t>
      </w:r>
      <w:r w:rsidRPr="00F870C7">
        <w:t xml:space="preserve"> planning </w:t>
      </w:r>
      <w:r w:rsidR="00F045CB">
        <w:t xml:space="preserve">by the Government of Alberta </w:t>
      </w:r>
      <w:r w:rsidRPr="00F870C7">
        <w:t>in northeast Alberta</w:t>
      </w:r>
      <w:r w:rsidR="00F045CB">
        <w:t xml:space="preserve"> as part of the Alberta </w:t>
      </w:r>
      <w:r w:rsidR="00C544DE">
        <w:t>Land-use</w:t>
      </w:r>
      <w:r w:rsidR="00F045CB">
        <w:t xml:space="preserve"> Management Framework</w:t>
      </w:r>
      <w:r w:rsidRPr="00F870C7">
        <w:t>.  Because risk tolerance of resource managers and communities can vary, these</w:t>
      </w:r>
      <w:r w:rsidR="00F045CB">
        <w:t xml:space="preserve"> risk rankings may not reflect “</w:t>
      </w:r>
      <w:r w:rsidRPr="00F870C7">
        <w:t>made-for-</w:t>
      </w:r>
      <w:r w:rsidR="00F045CB">
        <w:t>CLFN”</w:t>
      </w:r>
      <w:r>
        <w:t xml:space="preserve"> socio-cultural perspectives.</w:t>
      </w:r>
      <w:r w:rsidRPr="001F2B73">
        <w:t xml:space="preserve">  Such perspectives should be considered when discussing and evaluating potential </w:t>
      </w:r>
      <w:r w:rsidR="00C544DE">
        <w:t>land-use</w:t>
      </w:r>
      <w:r w:rsidRPr="001F2B73">
        <w:t xml:space="preserve"> impacts, particularly in the context of establishing limits of acceptable change.</w:t>
      </w:r>
    </w:p>
    <w:p w:rsidR="0034470F" w:rsidRPr="0034470F" w:rsidRDefault="0034470F" w:rsidP="0034470F">
      <w:pPr>
        <w:pStyle w:val="BodyText"/>
        <w:rPr>
          <w:lang w:val="en-US"/>
        </w:rPr>
      </w:pPr>
    </w:p>
    <w:p w:rsidR="00750B24" w:rsidRDefault="00750B24">
      <w:pPr>
        <w:spacing w:after="200" w:line="276" w:lineRule="auto"/>
        <w:rPr>
          <w:rFonts w:ascii="Arial" w:hAnsi="Arial"/>
          <w:b/>
          <w:caps/>
          <w:kern w:val="28"/>
          <w:sz w:val="28"/>
          <w:lang w:val="en-US"/>
        </w:rPr>
      </w:pPr>
      <w:r>
        <w:br w:type="page"/>
      </w:r>
    </w:p>
    <w:p w:rsidR="00DA6585" w:rsidRDefault="005B61FA" w:rsidP="00DA6585">
      <w:pPr>
        <w:pStyle w:val="Heading1"/>
      </w:pPr>
      <w:bookmarkStart w:id="541" w:name="_Toc338703760"/>
      <w:r>
        <w:lastRenderedPageBreak/>
        <w:t>References</w:t>
      </w:r>
      <w:bookmarkEnd w:id="541"/>
    </w:p>
    <w:p w:rsidR="008222D9" w:rsidRDefault="008222D9" w:rsidP="003B08C0">
      <w:pPr>
        <w:pStyle w:val="References"/>
        <w:numPr>
          <w:ilvl w:val="12"/>
          <w:numId w:val="0"/>
        </w:numPr>
        <w:spacing w:after="60"/>
        <w:ind w:left="187" w:hanging="187"/>
      </w:pPr>
      <w:bookmarkStart w:id="542" w:name="_Toc325565118"/>
      <w:bookmarkStart w:id="543" w:name="_Toc328152480"/>
      <w:bookmarkStart w:id="544" w:name="_Toc333204781"/>
      <w:proofErr w:type="gramStart"/>
      <w:r>
        <w:t>Alberta Environment, 2006.</w:t>
      </w:r>
      <w:proofErr w:type="gramEnd"/>
      <w:r>
        <w:t xml:space="preserve"> Cold Lake Beaver River; Surface water quality state of the basin report. Alberta Environment; in partnership with Lakeland Industry and Community Association and the Cold Lake,  Beaver River Basin Advisory Committee.</w:t>
      </w:r>
    </w:p>
    <w:p w:rsidR="008222D9" w:rsidRDefault="008222D9" w:rsidP="003B08C0">
      <w:pPr>
        <w:pStyle w:val="References"/>
        <w:numPr>
          <w:ilvl w:val="12"/>
          <w:numId w:val="0"/>
        </w:numPr>
        <w:spacing w:after="60"/>
        <w:ind w:left="187" w:hanging="187"/>
      </w:pPr>
      <w:proofErr w:type="gramStart"/>
      <w:r w:rsidRPr="00F724E7">
        <w:t>Alberta Forest Service, 1985.</w:t>
      </w:r>
      <w:proofErr w:type="gramEnd"/>
      <w:r w:rsidRPr="00F724E7">
        <w:t xml:space="preserve"> Alberta phase 3 forest inventory: an overview. Energy and Natural Resources Report </w:t>
      </w:r>
      <w:proofErr w:type="gramStart"/>
      <w:r w:rsidRPr="00F724E7">
        <w:t>I/86</w:t>
      </w:r>
      <w:proofErr w:type="gramEnd"/>
      <w:r w:rsidRPr="00F724E7">
        <w:t>, Alberta Energy and Natural Resources, Edmonton, AB.</w:t>
      </w:r>
    </w:p>
    <w:p w:rsidR="008222D9" w:rsidRPr="00F724E7" w:rsidRDefault="008222D9" w:rsidP="007E1E9C">
      <w:pPr>
        <w:pStyle w:val="References"/>
        <w:numPr>
          <w:ilvl w:val="12"/>
          <w:numId w:val="0"/>
        </w:numPr>
        <w:spacing w:after="60"/>
        <w:ind w:left="187" w:hanging="187"/>
      </w:pPr>
      <w:proofErr w:type="gramStart"/>
      <w:r w:rsidRPr="00F724E7">
        <w:t>Alberta Forest Service, 1985.</w:t>
      </w:r>
      <w:proofErr w:type="gramEnd"/>
      <w:r w:rsidRPr="00F724E7">
        <w:t xml:space="preserve"> Alberta phase 3 forest inventory: an overview. Energy and Natural Resources </w:t>
      </w:r>
    </w:p>
    <w:p w:rsidR="008222D9" w:rsidRPr="00F724E7" w:rsidRDefault="008222D9" w:rsidP="00F724E7">
      <w:pPr>
        <w:pStyle w:val="References"/>
        <w:numPr>
          <w:ilvl w:val="12"/>
          <w:numId w:val="0"/>
        </w:numPr>
        <w:spacing w:after="60"/>
        <w:ind w:left="187" w:hanging="187"/>
      </w:pPr>
      <w:proofErr w:type="gramStart"/>
      <w:r w:rsidRPr="00F724E7">
        <w:t>Alberta Land and Forest Services 1994.</w:t>
      </w:r>
      <w:proofErr w:type="gramEnd"/>
      <w:r w:rsidRPr="00F724E7">
        <w:t xml:space="preserve"> </w:t>
      </w:r>
      <w:proofErr w:type="gramStart"/>
      <w:r w:rsidRPr="00F724E7">
        <w:t>Status of Alberta’s timber supply.</w:t>
      </w:r>
      <w:proofErr w:type="gramEnd"/>
      <w:r w:rsidRPr="00F724E7">
        <w:t xml:space="preserve"> </w:t>
      </w:r>
      <w:proofErr w:type="gramStart"/>
      <w:r w:rsidRPr="00F724E7">
        <w:t>Canadian Council of Forest Ministers Timber Supply Conference.</w:t>
      </w:r>
      <w:proofErr w:type="gramEnd"/>
      <w:r w:rsidRPr="00F724E7">
        <w:t xml:space="preserve"> November 16–18, 1994. Kananaskis, AB.</w:t>
      </w:r>
    </w:p>
    <w:p w:rsidR="008222D9" w:rsidRDefault="008222D9" w:rsidP="003B08C0">
      <w:pPr>
        <w:pStyle w:val="References"/>
        <w:numPr>
          <w:ilvl w:val="12"/>
          <w:numId w:val="0"/>
        </w:numPr>
        <w:spacing w:after="60"/>
        <w:ind w:left="187" w:hanging="187"/>
      </w:pPr>
      <w:proofErr w:type="gramStart"/>
      <w:r>
        <w:t>Anderson, Anne-Marie.</w:t>
      </w:r>
      <w:proofErr w:type="gramEnd"/>
      <w:r>
        <w:t xml:space="preserve"> 1994. Effects of wastewater effluence discharges on the water quality of the Beaver River.</w:t>
      </w:r>
      <w:r w:rsidRPr="00F724E7">
        <w:t xml:space="preserve"> </w:t>
      </w:r>
      <w:proofErr w:type="gramStart"/>
      <w:r>
        <w:t>Alberta Environmental Protection.</w:t>
      </w:r>
      <w:proofErr w:type="gramEnd"/>
    </w:p>
    <w:p w:rsidR="008222D9" w:rsidRDefault="008222D9" w:rsidP="003B08C0">
      <w:pPr>
        <w:pStyle w:val="References"/>
        <w:numPr>
          <w:ilvl w:val="12"/>
          <w:numId w:val="0"/>
        </w:numPr>
        <w:spacing w:after="60"/>
        <w:ind w:left="187" w:hanging="187"/>
      </w:pPr>
      <w:proofErr w:type="gramStart"/>
      <w:r>
        <w:t>Anonymous.</w:t>
      </w:r>
      <w:proofErr w:type="gramEnd"/>
      <w:r>
        <w:t xml:space="preserve"> </w:t>
      </w:r>
      <w:proofErr w:type="gramStart"/>
      <w:r>
        <w:t>1993. Primrose Air Weapons Range Report.</w:t>
      </w:r>
      <w:proofErr w:type="gramEnd"/>
      <w:r>
        <w:t xml:space="preserve"> </w:t>
      </w:r>
      <w:proofErr w:type="gramStart"/>
      <w:r>
        <w:t>Indian Claims Commission.</w:t>
      </w:r>
      <w:proofErr w:type="gramEnd"/>
    </w:p>
    <w:p w:rsidR="008222D9" w:rsidRPr="00155393" w:rsidRDefault="008222D9" w:rsidP="00155393">
      <w:pPr>
        <w:pStyle w:val="Citation"/>
        <w:spacing w:after="60"/>
        <w:ind w:left="198" w:hanging="198"/>
        <w:rPr>
          <w:sz w:val="20"/>
        </w:rPr>
      </w:pPr>
      <w:proofErr w:type="gramStart"/>
      <w:r w:rsidRPr="00155393">
        <w:rPr>
          <w:sz w:val="20"/>
        </w:rPr>
        <w:t>ASRD (Alberta Sustainable Resource Development).</w:t>
      </w:r>
      <w:proofErr w:type="gramEnd"/>
      <w:r w:rsidRPr="00155393">
        <w:rPr>
          <w:sz w:val="20"/>
        </w:rPr>
        <w:t xml:space="preserve"> 2002. Northern Moose Management Program – Progress Report. </w:t>
      </w:r>
      <w:proofErr w:type="gramStart"/>
      <w:r w:rsidRPr="00155393">
        <w:rPr>
          <w:sz w:val="20"/>
        </w:rPr>
        <w:t>Alberta Sustainable Resource Development, Edmonton, AB.</w:t>
      </w:r>
      <w:proofErr w:type="gramEnd"/>
      <w:r w:rsidRPr="00155393">
        <w:rPr>
          <w:sz w:val="20"/>
        </w:rPr>
        <w:t xml:space="preserve">  Online [URL]: </w:t>
      </w:r>
      <w:hyperlink r:id="rId196" w:history="1">
        <w:r w:rsidRPr="00155393">
          <w:rPr>
            <w:rStyle w:val="Hyperlink"/>
            <w:sz w:val="20"/>
          </w:rPr>
          <w:t>http://www.srd.gov.ab.ca/fishwildlife/livingwith/huntingalberta/northernmoosemanagement/default.aspx</w:t>
        </w:r>
      </w:hyperlink>
      <w:r w:rsidRPr="00155393">
        <w:rPr>
          <w:sz w:val="20"/>
        </w:rPr>
        <w:t xml:space="preserve"> </w:t>
      </w:r>
    </w:p>
    <w:p w:rsidR="008222D9" w:rsidRPr="00F724E7" w:rsidRDefault="008222D9" w:rsidP="00F724E7">
      <w:pPr>
        <w:pStyle w:val="References"/>
        <w:numPr>
          <w:ilvl w:val="12"/>
          <w:numId w:val="0"/>
        </w:numPr>
        <w:spacing w:after="60"/>
        <w:ind w:left="187" w:hanging="187"/>
      </w:pPr>
      <w:r w:rsidRPr="00F724E7">
        <w:t>Attiwill, P.M. 1994. The disturbance of forest ecosystems: the ecological basis for conservative management. Forest Ecology and Management 63:247–300.</w:t>
      </w:r>
    </w:p>
    <w:p w:rsidR="008222D9" w:rsidRDefault="008222D9" w:rsidP="003B08C0">
      <w:pPr>
        <w:pStyle w:val="References"/>
        <w:numPr>
          <w:ilvl w:val="12"/>
          <w:numId w:val="0"/>
        </w:numPr>
        <w:spacing w:after="60"/>
        <w:ind w:left="187" w:hanging="187"/>
      </w:pPr>
      <w:proofErr w:type="gramStart"/>
      <w:r>
        <w:t>Axys Environmental Consulting Ltd. 2003.</w:t>
      </w:r>
      <w:proofErr w:type="gramEnd"/>
      <w:r>
        <w:t xml:space="preserve"> </w:t>
      </w:r>
      <w:proofErr w:type="gramStart"/>
      <w:r>
        <w:t>Winter Wildlife Surveys; Field Technical Report.</w:t>
      </w:r>
      <w:proofErr w:type="gramEnd"/>
    </w:p>
    <w:p w:rsidR="008222D9" w:rsidRPr="00F724E7" w:rsidRDefault="008222D9" w:rsidP="00F724E7">
      <w:pPr>
        <w:pStyle w:val="References"/>
        <w:widowControl w:val="0"/>
        <w:numPr>
          <w:ilvl w:val="12"/>
          <w:numId w:val="0"/>
        </w:numPr>
        <w:spacing w:after="60"/>
        <w:ind w:left="187" w:hanging="187"/>
      </w:pPr>
      <w:proofErr w:type="gramStart"/>
      <w:r w:rsidRPr="00F724E7">
        <w:t>Barney, R.J.; Stocks, B.J. 1983.</w:t>
      </w:r>
      <w:proofErr w:type="gramEnd"/>
      <w:r w:rsidRPr="00F724E7">
        <w:t xml:space="preserve"> </w:t>
      </w:r>
      <w:proofErr w:type="gramStart"/>
      <w:r w:rsidRPr="00F724E7">
        <w:t>Fire frequencies during the suppression period.</w:t>
      </w:r>
      <w:proofErr w:type="gramEnd"/>
      <w:r w:rsidRPr="00F724E7">
        <w:t xml:space="preserve"> pp. 45–62. In: The role of fire in northern circumpolar ecosystems. </w:t>
      </w:r>
      <w:proofErr w:type="gramStart"/>
      <w:r w:rsidRPr="00F724E7">
        <w:t>Wein, R.W.; MacLean, D.A. (editors).</w:t>
      </w:r>
      <w:proofErr w:type="gramEnd"/>
      <w:r w:rsidRPr="00F724E7">
        <w:t xml:space="preserve"> </w:t>
      </w:r>
      <w:proofErr w:type="gramStart"/>
      <w:r w:rsidRPr="00F724E7">
        <w:t>John Wiley and Sons, Toronto, ON.</w:t>
      </w:r>
      <w:proofErr w:type="gramEnd"/>
    </w:p>
    <w:p w:rsidR="008222D9" w:rsidRPr="00F724E7" w:rsidRDefault="008222D9" w:rsidP="00F724E7">
      <w:pPr>
        <w:pStyle w:val="References"/>
        <w:widowControl w:val="0"/>
        <w:numPr>
          <w:ilvl w:val="12"/>
          <w:numId w:val="0"/>
        </w:numPr>
        <w:spacing w:after="60"/>
        <w:ind w:left="187" w:hanging="187"/>
      </w:pPr>
      <w:r w:rsidRPr="00F724E7">
        <w:t>Bergeron, Y. 1991. The influence of island and mainland lakeshore landscapes on the boreal forest fire regime. Ecology 72:1980–1992.</w:t>
      </w:r>
    </w:p>
    <w:p w:rsidR="008222D9" w:rsidRDefault="008222D9" w:rsidP="003B08C0">
      <w:pPr>
        <w:pStyle w:val="References"/>
        <w:numPr>
          <w:ilvl w:val="12"/>
          <w:numId w:val="0"/>
        </w:numPr>
        <w:spacing w:after="60"/>
        <w:ind w:left="187" w:hanging="187"/>
      </w:pPr>
      <w:proofErr w:type="gramStart"/>
      <w:r>
        <w:t>Berry, S. and Brink.</w:t>
      </w:r>
      <w:proofErr w:type="gramEnd"/>
      <w:r>
        <w:t xml:space="preserve"> J. 2005. </w:t>
      </w:r>
      <w:proofErr w:type="gramStart"/>
      <w:r>
        <w:t>Aboriginal cultures in Alberta.</w:t>
      </w:r>
      <w:proofErr w:type="gramEnd"/>
      <w:r>
        <w:t xml:space="preserve"> </w:t>
      </w:r>
      <w:proofErr w:type="gramStart"/>
      <w:r>
        <w:t>Provincial Museum of Alberta.</w:t>
      </w:r>
      <w:proofErr w:type="gramEnd"/>
      <w:r>
        <w:t xml:space="preserve"> </w:t>
      </w:r>
      <w:proofErr w:type="gramStart"/>
      <w:r>
        <w:t>Pp 22.</w:t>
      </w:r>
      <w:proofErr w:type="gramEnd"/>
    </w:p>
    <w:p w:rsidR="008222D9" w:rsidRPr="00155393" w:rsidRDefault="008222D9" w:rsidP="00155393">
      <w:pPr>
        <w:pStyle w:val="Citation"/>
        <w:spacing w:after="60"/>
        <w:ind w:left="198" w:hanging="198"/>
        <w:rPr>
          <w:sz w:val="20"/>
        </w:rPr>
      </w:pPr>
      <w:r w:rsidRPr="00155393">
        <w:rPr>
          <w:sz w:val="20"/>
        </w:rPr>
        <w:t xml:space="preserve">Boer, A.H. 1992. Fecundity of North American moose </w:t>
      </w:r>
      <w:r w:rsidRPr="00155393">
        <w:rPr>
          <w:i/>
          <w:sz w:val="20"/>
        </w:rPr>
        <w:t>(Alces alces)</w:t>
      </w:r>
      <w:r w:rsidRPr="00155393">
        <w:rPr>
          <w:sz w:val="20"/>
        </w:rPr>
        <w:t xml:space="preserve">: a review. ALCES (Supplement 1): 1-10. </w:t>
      </w:r>
    </w:p>
    <w:p w:rsidR="008222D9" w:rsidRPr="00F724E7" w:rsidRDefault="008222D9" w:rsidP="00F724E7">
      <w:pPr>
        <w:pStyle w:val="References"/>
        <w:widowControl w:val="0"/>
        <w:numPr>
          <w:ilvl w:val="12"/>
          <w:numId w:val="0"/>
        </w:numPr>
        <w:spacing w:after="60"/>
        <w:ind w:left="187" w:hanging="187"/>
      </w:pPr>
      <w:proofErr w:type="gramStart"/>
      <w:r w:rsidRPr="00F724E7">
        <w:t>Bradshaw, R.; Zackrisson, O. 1990.</w:t>
      </w:r>
      <w:proofErr w:type="gramEnd"/>
      <w:r w:rsidRPr="00F724E7">
        <w:t xml:space="preserve"> </w:t>
      </w:r>
      <w:proofErr w:type="gramStart"/>
      <w:r w:rsidRPr="00F724E7">
        <w:t>A two thousand year history of a northern Swedish boreal forest stand.</w:t>
      </w:r>
      <w:proofErr w:type="gramEnd"/>
      <w:r w:rsidRPr="00F724E7">
        <w:t xml:space="preserve"> Journal of Vegetation Science 1:519–528.</w:t>
      </w:r>
    </w:p>
    <w:p w:rsidR="008222D9" w:rsidRPr="00F724E7" w:rsidRDefault="008222D9" w:rsidP="00F724E7">
      <w:pPr>
        <w:pStyle w:val="References"/>
        <w:numPr>
          <w:ilvl w:val="12"/>
          <w:numId w:val="0"/>
        </w:numPr>
        <w:spacing w:after="60"/>
        <w:ind w:left="187" w:hanging="187"/>
      </w:pPr>
      <w:proofErr w:type="gramStart"/>
      <w:r w:rsidRPr="00F724E7">
        <w:t>Burton, P.J.; Cumming, S.G.; Joy, M.; Klinkenberg, B.; Schmiegelow, F.K.A.; Smith, J.N.M. 1994.</w:t>
      </w:r>
      <w:proofErr w:type="gramEnd"/>
      <w:r w:rsidRPr="00F724E7">
        <w:t xml:space="preserve"> Experimental habitat fragmentation and simulation of landscape dynamics in the boreal mixedwood: a pilot study. </w:t>
      </w:r>
      <w:proofErr w:type="gramStart"/>
      <w:r w:rsidRPr="00F724E7">
        <w:t>C.A.P.A.I.F. publication, Edmonton, AB.</w:t>
      </w:r>
      <w:proofErr w:type="gramEnd"/>
    </w:p>
    <w:p w:rsidR="008222D9" w:rsidRPr="00F724E7" w:rsidRDefault="008222D9" w:rsidP="00F724E7">
      <w:pPr>
        <w:pStyle w:val="Citation"/>
        <w:spacing w:after="60"/>
        <w:ind w:left="198" w:hanging="198"/>
        <w:rPr>
          <w:sz w:val="20"/>
        </w:rPr>
      </w:pPr>
      <w:proofErr w:type="gramStart"/>
      <w:r w:rsidRPr="00F724E7">
        <w:rPr>
          <w:sz w:val="20"/>
        </w:rPr>
        <w:t>CEMA (Cumulative Effects Management Association).</w:t>
      </w:r>
      <w:proofErr w:type="gramEnd"/>
      <w:r w:rsidRPr="00F724E7">
        <w:rPr>
          <w:sz w:val="20"/>
        </w:rPr>
        <w:t xml:space="preserve"> 2008. Terrestrial Ecosystem Management Framework for the Regional Municipality of Wood Buffalo. Online [URL]: </w:t>
      </w:r>
      <w:hyperlink r:id="rId197" w:history="1">
        <w:r w:rsidRPr="00F724E7">
          <w:rPr>
            <w:rStyle w:val="Hyperlink"/>
            <w:sz w:val="20"/>
          </w:rPr>
          <w:t>http://www.cemaonline.ca/content/view/75/148/</w:t>
        </w:r>
      </w:hyperlink>
      <w:r w:rsidRPr="00F724E7">
        <w:rPr>
          <w:sz w:val="20"/>
        </w:rPr>
        <w:t xml:space="preserve">. </w:t>
      </w:r>
    </w:p>
    <w:p w:rsidR="008222D9" w:rsidRPr="00F724E7" w:rsidRDefault="008222D9" w:rsidP="00F724E7">
      <w:pPr>
        <w:pStyle w:val="References"/>
        <w:widowControl w:val="0"/>
        <w:numPr>
          <w:ilvl w:val="12"/>
          <w:numId w:val="0"/>
        </w:numPr>
        <w:spacing w:after="60"/>
        <w:ind w:left="187" w:hanging="187"/>
      </w:pPr>
      <w:r w:rsidRPr="00F724E7">
        <w:t>Clark, J.S. 1990. Fire and climate change during the last 750 years in northwestern Minnesota. Ecological Monograph 60:135–159.</w:t>
      </w:r>
    </w:p>
    <w:p w:rsidR="008222D9" w:rsidRPr="00F724E7" w:rsidRDefault="008222D9" w:rsidP="00F724E7">
      <w:pPr>
        <w:pStyle w:val="References"/>
        <w:numPr>
          <w:ilvl w:val="12"/>
          <w:numId w:val="0"/>
        </w:numPr>
        <w:spacing w:after="60"/>
        <w:ind w:left="187" w:hanging="187"/>
      </w:pPr>
      <w:proofErr w:type="gramStart"/>
      <w:r w:rsidRPr="00F724E7">
        <w:t>Clissold, R.J.; Tress, R.G. 1974.</w:t>
      </w:r>
      <w:proofErr w:type="gramEnd"/>
      <w:r w:rsidRPr="00F724E7">
        <w:t xml:space="preserve"> </w:t>
      </w:r>
      <w:proofErr w:type="gramStart"/>
      <w:r w:rsidRPr="00F724E7">
        <w:t>Pinehurst-Seibert-Touchwood Lake Area biophysical resource inventory.</w:t>
      </w:r>
      <w:proofErr w:type="gramEnd"/>
      <w:r w:rsidRPr="00F724E7">
        <w:t xml:space="preserve"> </w:t>
      </w:r>
      <w:proofErr w:type="gramStart"/>
      <w:r w:rsidRPr="00F724E7">
        <w:t>Prepared for Lands and Forests, Government of Alberta, Edmonton, AB.</w:t>
      </w:r>
      <w:proofErr w:type="gramEnd"/>
    </w:p>
    <w:p w:rsidR="008222D9" w:rsidRPr="00F724E7" w:rsidRDefault="008222D9" w:rsidP="00F724E7">
      <w:pPr>
        <w:pStyle w:val="References"/>
        <w:numPr>
          <w:ilvl w:val="12"/>
          <w:numId w:val="0"/>
        </w:numPr>
        <w:spacing w:after="60"/>
        <w:ind w:left="187" w:hanging="187"/>
      </w:pPr>
      <w:proofErr w:type="gramStart"/>
      <w:r w:rsidRPr="00F724E7">
        <w:t>Dancik, B.; Brace, L; Stelfox, J.; Udell, B. 1990.</w:t>
      </w:r>
      <w:proofErr w:type="gramEnd"/>
      <w:r w:rsidRPr="00F724E7">
        <w:t xml:space="preserve"> </w:t>
      </w:r>
      <w:proofErr w:type="gramStart"/>
      <w:r w:rsidRPr="00F724E7">
        <w:t>Forest management in Alberta.</w:t>
      </w:r>
      <w:proofErr w:type="gramEnd"/>
      <w:r w:rsidRPr="00F724E7">
        <w:t xml:space="preserve"> </w:t>
      </w:r>
      <w:proofErr w:type="gramStart"/>
      <w:r w:rsidRPr="00F724E7">
        <w:t>Report of the expert review panel.</w:t>
      </w:r>
      <w:proofErr w:type="gramEnd"/>
      <w:r w:rsidRPr="00F724E7">
        <w:t xml:space="preserve"> </w:t>
      </w:r>
      <w:proofErr w:type="gramStart"/>
      <w:r w:rsidRPr="00F724E7">
        <w:t>Department of Alberta Energy, Forestry, Lands and Wildlife, Edmonton, AB. 128 pp.</w:t>
      </w:r>
      <w:proofErr w:type="gramEnd"/>
    </w:p>
    <w:p w:rsidR="008222D9" w:rsidRPr="00F724E7" w:rsidRDefault="008222D9" w:rsidP="00F724E7">
      <w:pPr>
        <w:pStyle w:val="References"/>
        <w:numPr>
          <w:ilvl w:val="12"/>
          <w:numId w:val="0"/>
        </w:numPr>
        <w:spacing w:after="60"/>
        <w:ind w:left="187" w:hanging="187"/>
      </w:pPr>
      <w:proofErr w:type="gramStart"/>
      <w:r w:rsidRPr="00F724E7">
        <w:t>Danks, H.V.; Foottit, R.G. 1989.</w:t>
      </w:r>
      <w:proofErr w:type="gramEnd"/>
      <w:r w:rsidRPr="00F724E7">
        <w:t xml:space="preserve"> </w:t>
      </w:r>
      <w:proofErr w:type="gramStart"/>
      <w:r w:rsidRPr="00F724E7">
        <w:t>Insects of the boreal zone of Canada.</w:t>
      </w:r>
      <w:proofErr w:type="gramEnd"/>
      <w:r w:rsidRPr="00F724E7">
        <w:t xml:space="preserve"> The Canadian Entomologist 121:626–677.</w:t>
      </w:r>
    </w:p>
    <w:p w:rsidR="008222D9" w:rsidRPr="00F724E7" w:rsidRDefault="008222D9" w:rsidP="00F724E7">
      <w:pPr>
        <w:pStyle w:val="References"/>
        <w:numPr>
          <w:ilvl w:val="12"/>
          <w:numId w:val="0"/>
        </w:numPr>
        <w:spacing w:after="60"/>
        <w:ind w:left="187" w:hanging="187"/>
      </w:pPr>
      <w:proofErr w:type="gramStart"/>
      <w:r w:rsidRPr="00F724E7">
        <w:t>Eberhart, K.E.; Woodard, P.M. 1987.</w:t>
      </w:r>
      <w:proofErr w:type="gramEnd"/>
      <w:r w:rsidRPr="00F724E7">
        <w:t xml:space="preserve"> Distribution of residual vegetation associated with large fires in Alberta. Canadian Journal of Forest Research 17:1207–1212.</w:t>
      </w:r>
    </w:p>
    <w:p w:rsidR="008222D9" w:rsidRPr="00F724E7" w:rsidRDefault="008222D9" w:rsidP="00F724E7">
      <w:pPr>
        <w:pStyle w:val="References"/>
        <w:numPr>
          <w:ilvl w:val="12"/>
          <w:numId w:val="0"/>
        </w:numPr>
        <w:spacing w:after="60"/>
        <w:ind w:left="187" w:hanging="187"/>
      </w:pPr>
      <w:proofErr w:type="gramStart"/>
      <w:r w:rsidRPr="00F724E7">
        <w:t>Engelmark, O.; Bradshaw, R.; Bergeron, Y. 1993.</w:t>
      </w:r>
      <w:proofErr w:type="gramEnd"/>
      <w:r w:rsidRPr="00F724E7">
        <w:t xml:space="preserve"> </w:t>
      </w:r>
      <w:proofErr w:type="gramStart"/>
      <w:r w:rsidRPr="00F724E7">
        <w:t>Disturbance dynamics in boreal forest.</w:t>
      </w:r>
      <w:proofErr w:type="gramEnd"/>
      <w:r w:rsidRPr="00F724E7">
        <w:t xml:space="preserve"> Journal of Vegetation Science 3:729–732. </w:t>
      </w:r>
    </w:p>
    <w:p w:rsidR="008222D9" w:rsidRDefault="008222D9" w:rsidP="003B08C0">
      <w:pPr>
        <w:pStyle w:val="References"/>
        <w:numPr>
          <w:ilvl w:val="12"/>
          <w:numId w:val="0"/>
        </w:numPr>
        <w:spacing w:after="60"/>
        <w:ind w:left="187" w:hanging="187"/>
      </w:pPr>
      <w:proofErr w:type="gramStart"/>
      <w:r>
        <w:t>Fedirchuk, McCullough and Associates Ltd. 2001.</w:t>
      </w:r>
      <w:proofErr w:type="gramEnd"/>
      <w:r>
        <w:t xml:space="preserve"> </w:t>
      </w:r>
      <w:proofErr w:type="gramStart"/>
      <w:r>
        <w:t>Historical Resources Impact Assessment; Cold Lake First Nations Consultation and Traditional Site Survey; Encana Corporation Foster Creek SAGD Expansion Project, Cold Lake Air Weapons Range, Twp 70, Rges 3-4, W4M.</w:t>
      </w:r>
      <w:proofErr w:type="gramEnd"/>
    </w:p>
    <w:p w:rsidR="008222D9" w:rsidRPr="00155393" w:rsidRDefault="008222D9" w:rsidP="00155393">
      <w:pPr>
        <w:pStyle w:val="Citation"/>
        <w:spacing w:after="60"/>
        <w:ind w:left="198" w:hanging="198"/>
        <w:rPr>
          <w:sz w:val="20"/>
        </w:rPr>
      </w:pPr>
      <w:proofErr w:type="gramStart"/>
      <w:r w:rsidRPr="00155393">
        <w:rPr>
          <w:sz w:val="20"/>
        </w:rPr>
        <w:t>Ferguson, S.H., A.R. Bisset, and F. Messier.</w:t>
      </w:r>
      <w:proofErr w:type="gramEnd"/>
      <w:r w:rsidRPr="00155393">
        <w:rPr>
          <w:sz w:val="20"/>
        </w:rPr>
        <w:t xml:space="preserve"> 2000. The influences of density on growth and reproduction in moose </w:t>
      </w:r>
      <w:r w:rsidRPr="00155393">
        <w:rPr>
          <w:i/>
          <w:sz w:val="20"/>
        </w:rPr>
        <w:t>Alces alces.</w:t>
      </w:r>
      <w:r w:rsidRPr="00155393">
        <w:rPr>
          <w:sz w:val="20"/>
        </w:rPr>
        <w:t xml:space="preserve"> </w:t>
      </w:r>
      <w:proofErr w:type="gramStart"/>
      <w:r w:rsidRPr="00155393">
        <w:rPr>
          <w:sz w:val="20"/>
        </w:rPr>
        <w:t>Wildlife Biology.</w:t>
      </w:r>
      <w:proofErr w:type="gramEnd"/>
      <w:r w:rsidRPr="00155393">
        <w:rPr>
          <w:sz w:val="20"/>
        </w:rPr>
        <w:t xml:space="preserve"> 6: 31-39.</w:t>
      </w:r>
    </w:p>
    <w:p w:rsidR="008222D9" w:rsidRPr="00F724E7" w:rsidRDefault="008222D9" w:rsidP="00F724E7">
      <w:pPr>
        <w:pStyle w:val="Citation"/>
        <w:spacing w:after="60"/>
        <w:ind w:left="198" w:hanging="198"/>
        <w:rPr>
          <w:sz w:val="20"/>
          <w:lang w:val="en-US"/>
        </w:rPr>
      </w:pPr>
      <w:proofErr w:type="gramStart"/>
      <w:r w:rsidRPr="00F724E7">
        <w:rPr>
          <w:sz w:val="20"/>
        </w:rPr>
        <w:lastRenderedPageBreak/>
        <w:t>Forman, R.T.T. and L.E. Alexander.</w:t>
      </w:r>
      <w:proofErr w:type="gramEnd"/>
      <w:r w:rsidRPr="00F724E7">
        <w:rPr>
          <w:sz w:val="20"/>
        </w:rPr>
        <w:t xml:space="preserve"> 1998. Roads and their major ecological effects. </w:t>
      </w:r>
      <w:proofErr w:type="gramStart"/>
      <w:r w:rsidRPr="00F724E7">
        <w:rPr>
          <w:sz w:val="20"/>
        </w:rPr>
        <w:t>Annual Review of Ecology and Systematics.</w:t>
      </w:r>
      <w:proofErr w:type="gramEnd"/>
      <w:r w:rsidRPr="00F724E7">
        <w:rPr>
          <w:sz w:val="20"/>
        </w:rPr>
        <w:t xml:space="preserve"> 29: 207-231.</w:t>
      </w:r>
    </w:p>
    <w:p w:rsidR="008222D9" w:rsidRPr="00F724E7" w:rsidRDefault="008222D9" w:rsidP="00F724E7">
      <w:pPr>
        <w:pStyle w:val="References"/>
        <w:numPr>
          <w:ilvl w:val="12"/>
          <w:numId w:val="0"/>
        </w:numPr>
        <w:spacing w:after="60"/>
        <w:ind w:left="187" w:hanging="187"/>
      </w:pPr>
      <w:proofErr w:type="gramStart"/>
      <w:r w:rsidRPr="00F724E7">
        <w:t>Francis, J.; Lumbis, K. 1979.</w:t>
      </w:r>
      <w:proofErr w:type="gramEnd"/>
      <w:r w:rsidRPr="00F724E7">
        <w:t xml:space="preserve"> </w:t>
      </w:r>
      <w:proofErr w:type="gramStart"/>
      <w:r w:rsidRPr="00F724E7">
        <w:t>Habitat relationships and management of terrestrial birds in northeastern Alberta.</w:t>
      </w:r>
      <w:proofErr w:type="gramEnd"/>
      <w:r w:rsidRPr="00F724E7">
        <w:t xml:space="preserve"> </w:t>
      </w:r>
      <w:proofErr w:type="gramStart"/>
      <w:r w:rsidRPr="00F724E7">
        <w:t>Alberta Environment and Environment Canada.</w:t>
      </w:r>
      <w:proofErr w:type="gramEnd"/>
      <w:r w:rsidRPr="00F724E7">
        <w:t xml:space="preserve"> AOSERP Report No. 78.</w:t>
      </w:r>
    </w:p>
    <w:p w:rsidR="008222D9" w:rsidRPr="00155393" w:rsidRDefault="008222D9" w:rsidP="00155393">
      <w:pPr>
        <w:pStyle w:val="Citation"/>
        <w:spacing w:after="60"/>
        <w:ind w:left="198" w:hanging="198"/>
        <w:rPr>
          <w:sz w:val="20"/>
        </w:rPr>
      </w:pPr>
      <w:proofErr w:type="gramStart"/>
      <w:r w:rsidRPr="00155393">
        <w:rPr>
          <w:sz w:val="20"/>
        </w:rPr>
        <w:t>Franzmann, A.W. and C.C. Schwartz.</w:t>
      </w:r>
      <w:proofErr w:type="gramEnd"/>
      <w:r w:rsidRPr="00155393">
        <w:rPr>
          <w:sz w:val="20"/>
        </w:rPr>
        <w:t xml:space="preserve"> 1985. Moose twinning rates: a possible population condition assessment. </w:t>
      </w:r>
      <w:proofErr w:type="gramStart"/>
      <w:r w:rsidRPr="00155393">
        <w:rPr>
          <w:sz w:val="20"/>
        </w:rPr>
        <w:t>Journal of Wildlife Management.</w:t>
      </w:r>
      <w:proofErr w:type="gramEnd"/>
      <w:r w:rsidRPr="00155393">
        <w:rPr>
          <w:sz w:val="20"/>
        </w:rPr>
        <w:t xml:space="preserve"> 49: 394-396. </w:t>
      </w:r>
    </w:p>
    <w:p w:rsidR="008222D9" w:rsidRPr="00155393" w:rsidRDefault="008222D9" w:rsidP="00155393">
      <w:pPr>
        <w:pStyle w:val="Citation"/>
        <w:spacing w:after="60"/>
        <w:ind w:left="198" w:hanging="198"/>
        <w:rPr>
          <w:sz w:val="20"/>
        </w:rPr>
      </w:pPr>
      <w:proofErr w:type="gramStart"/>
      <w:r w:rsidRPr="00155393">
        <w:rPr>
          <w:sz w:val="20"/>
        </w:rPr>
        <w:t>Gaillard, J-M.</w:t>
      </w:r>
      <w:proofErr w:type="gramEnd"/>
      <w:r w:rsidRPr="00155393">
        <w:rPr>
          <w:sz w:val="20"/>
        </w:rPr>
        <w:t xml:space="preserve"> 2007. Are moose only a large deer</w:t>
      </w:r>
      <w:proofErr w:type="gramStart"/>
      <w:r w:rsidRPr="00155393">
        <w:rPr>
          <w:sz w:val="20"/>
        </w:rPr>
        <w:t>?:</w:t>
      </w:r>
      <w:proofErr w:type="gramEnd"/>
      <w:r w:rsidRPr="00155393">
        <w:rPr>
          <w:sz w:val="20"/>
        </w:rPr>
        <w:t xml:space="preserve"> some life history considerations. </w:t>
      </w:r>
      <w:proofErr w:type="gramStart"/>
      <w:r w:rsidRPr="00155393">
        <w:rPr>
          <w:sz w:val="20"/>
        </w:rPr>
        <w:t>ALCES.</w:t>
      </w:r>
      <w:proofErr w:type="gramEnd"/>
      <w:r w:rsidRPr="00155393">
        <w:rPr>
          <w:sz w:val="20"/>
        </w:rPr>
        <w:t xml:space="preserve"> 43: 1-11.</w:t>
      </w:r>
    </w:p>
    <w:p w:rsidR="008222D9" w:rsidRPr="00155393" w:rsidRDefault="008222D9" w:rsidP="00155393">
      <w:pPr>
        <w:pStyle w:val="Citation"/>
        <w:spacing w:after="60"/>
        <w:ind w:left="198" w:hanging="198"/>
        <w:rPr>
          <w:sz w:val="20"/>
          <w:lang w:val="en-US"/>
        </w:rPr>
      </w:pPr>
      <w:proofErr w:type="gramStart"/>
      <w:r w:rsidRPr="00155393">
        <w:rPr>
          <w:sz w:val="20"/>
          <w:lang w:val="en-US"/>
        </w:rPr>
        <w:t>Gasaway, W. C., R. D. Boertje, D. V. Grangaard, D. G. Kelleyhouse, R. 0.</w:t>
      </w:r>
      <w:proofErr w:type="gramEnd"/>
      <w:r w:rsidRPr="00155393">
        <w:rPr>
          <w:sz w:val="20"/>
          <w:lang w:val="en-US"/>
        </w:rPr>
        <w:t xml:space="preserve"> </w:t>
      </w:r>
      <w:proofErr w:type="gramStart"/>
      <w:r w:rsidRPr="00155393">
        <w:rPr>
          <w:sz w:val="20"/>
          <w:lang w:val="en-US"/>
        </w:rPr>
        <w:t>Stephenson,</w:t>
      </w:r>
      <w:proofErr w:type="gramEnd"/>
      <w:r w:rsidRPr="00155393">
        <w:rPr>
          <w:sz w:val="20"/>
          <w:lang w:val="en-US"/>
        </w:rPr>
        <w:t xml:space="preserve"> and D. G. Larsen. 1992. The role of predation in limiting moose at low densities in Alaska and Yukon and implications for conservation. Wildlife Monographs 120:1-59.</w:t>
      </w:r>
    </w:p>
    <w:p w:rsidR="008222D9" w:rsidRPr="00F724E7" w:rsidRDefault="008222D9" w:rsidP="00F724E7">
      <w:pPr>
        <w:pStyle w:val="Citation"/>
        <w:spacing w:after="60"/>
        <w:ind w:left="198" w:hanging="198"/>
        <w:rPr>
          <w:sz w:val="20"/>
        </w:rPr>
      </w:pPr>
      <w:r w:rsidRPr="00F724E7">
        <w:rPr>
          <w:sz w:val="20"/>
        </w:rPr>
        <w:t xml:space="preserve">Holling, C. S. 1973. </w:t>
      </w:r>
      <w:proofErr w:type="gramStart"/>
      <w:r w:rsidRPr="00F724E7">
        <w:rPr>
          <w:sz w:val="20"/>
        </w:rPr>
        <w:t>Resilience and stability of ecological systems.</w:t>
      </w:r>
      <w:proofErr w:type="gramEnd"/>
      <w:r w:rsidRPr="00F724E7">
        <w:rPr>
          <w:sz w:val="20"/>
        </w:rPr>
        <w:t xml:space="preserve"> Annual Review of Ecology and Systematics 4: 1-23.</w:t>
      </w:r>
    </w:p>
    <w:p w:rsidR="008222D9" w:rsidRPr="00F724E7" w:rsidRDefault="008222D9" w:rsidP="00F724E7">
      <w:pPr>
        <w:pStyle w:val="Citation"/>
        <w:spacing w:after="60"/>
        <w:ind w:left="198" w:hanging="198"/>
        <w:rPr>
          <w:color w:val="FF0000"/>
          <w:sz w:val="20"/>
        </w:rPr>
      </w:pPr>
      <w:r w:rsidRPr="00F724E7">
        <w:rPr>
          <w:sz w:val="20"/>
        </w:rPr>
        <w:t xml:space="preserve">Johnson, E.A. 1992. Fire and vegetation dynamics—studies from the North American boreal forest. </w:t>
      </w:r>
      <w:proofErr w:type="gramStart"/>
      <w:r w:rsidRPr="00F724E7">
        <w:rPr>
          <w:sz w:val="20"/>
        </w:rPr>
        <w:t>Cambridge University Press, Cambridge, U.K.</w:t>
      </w:r>
      <w:proofErr w:type="gramEnd"/>
      <w:r w:rsidRPr="00F724E7">
        <w:rPr>
          <w:sz w:val="20"/>
        </w:rPr>
        <w:t xml:space="preserve"> </w:t>
      </w:r>
    </w:p>
    <w:p w:rsidR="008222D9" w:rsidRPr="00F724E7" w:rsidRDefault="008222D9" w:rsidP="00F724E7">
      <w:pPr>
        <w:pStyle w:val="References"/>
        <w:numPr>
          <w:ilvl w:val="12"/>
          <w:numId w:val="0"/>
        </w:numPr>
        <w:spacing w:after="60"/>
        <w:ind w:left="187" w:hanging="187"/>
      </w:pPr>
      <w:proofErr w:type="gramStart"/>
      <w:r w:rsidRPr="00F724E7">
        <w:t>Johnson, E.A.; Larsen, D.P.S. 1991.</w:t>
      </w:r>
      <w:proofErr w:type="gramEnd"/>
      <w:r w:rsidRPr="00F724E7">
        <w:t xml:space="preserve"> Climatically induced change in fire frequency in the southern Canadian Rockies. Ecology 72:194–201.</w:t>
      </w:r>
    </w:p>
    <w:p w:rsidR="008222D9" w:rsidRPr="00F724E7" w:rsidRDefault="008222D9" w:rsidP="00F724E7">
      <w:pPr>
        <w:pStyle w:val="References"/>
        <w:widowControl w:val="0"/>
        <w:numPr>
          <w:ilvl w:val="12"/>
          <w:numId w:val="0"/>
        </w:numPr>
        <w:spacing w:after="60"/>
        <w:ind w:left="187" w:hanging="187"/>
      </w:pPr>
      <w:proofErr w:type="gramStart"/>
      <w:r w:rsidRPr="00F724E7">
        <w:t>Kabzems, A.; Kosowan, A.L.; Harris, W.C. 1976.</w:t>
      </w:r>
      <w:proofErr w:type="gramEnd"/>
      <w:r w:rsidRPr="00F724E7">
        <w:t xml:space="preserve"> </w:t>
      </w:r>
      <w:proofErr w:type="gramStart"/>
      <w:r w:rsidRPr="00F724E7">
        <w:t>Mixedwood section in an ecological perspective.</w:t>
      </w:r>
      <w:proofErr w:type="gramEnd"/>
      <w:r w:rsidRPr="00F724E7">
        <w:t xml:space="preserve"> </w:t>
      </w:r>
      <w:proofErr w:type="gramStart"/>
      <w:r w:rsidRPr="00F724E7">
        <w:t>Technical Bulletin 8, Forestry Branch, Saskatchewan Department of Tourism and Renewable Resources, Regina, SK.</w:t>
      </w:r>
      <w:proofErr w:type="gramEnd"/>
    </w:p>
    <w:p w:rsidR="008222D9" w:rsidRPr="00F724E7" w:rsidRDefault="008222D9" w:rsidP="00F724E7">
      <w:pPr>
        <w:pStyle w:val="References"/>
        <w:widowControl w:val="0"/>
        <w:numPr>
          <w:ilvl w:val="12"/>
          <w:numId w:val="0"/>
        </w:numPr>
        <w:spacing w:after="60"/>
        <w:ind w:left="187" w:hanging="187"/>
      </w:pPr>
      <w:proofErr w:type="gramStart"/>
      <w:r w:rsidRPr="00F724E7">
        <w:t>Kelsall, J.P.; Telfer, E.S.; Wright, T.D. 1977.</w:t>
      </w:r>
      <w:proofErr w:type="gramEnd"/>
      <w:r w:rsidRPr="00F724E7">
        <w:t xml:space="preserve"> </w:t>
      </w:r>
      <w:proofErr w:type="gramStart"/>
      <w:r w:rsidRPr="00F724E7">
        <w:t>The effects of fire on the ecology of boreal forest, with particular reference to the Canadian north; a review and selected bibliography.</w:t>
      </w:r>
      <w:proofErr w:type="gramEnd"/>
      <w:r w:rsidRPr="00F724E7">
        <w:t xml:space="preserve"> </w:t>
      </w:r>
      <w:proofErr w:type="gramStart"/>
      <w:r w:rsidRPr="00F724E7">
        <w:t>Canadian Wildlife Service, Occasional Paper No. 32, Edmonton, AB.</w:t>
      </w:r>
      <w:proofErr w:type="gramEnd"/>
    </w:p>
    <w:p w:rsidR="008222D9" w:rsidRPr="00F724E7" w:rsidRDefault="008222D9" w:rsidP="00F724E7">
      <w:pPr>
        <w:pStyle w:val="References"/>
        <w:widowControl w:val="0"/>
        <w:numPr>
          <w:ilvl w:val="12"/>
          <w:numId w:val="0"/>
        </w:numPr>
        <w:spacing w:after="60"/>
        <w:ind w:left="187" w:hanging="187"/>
      </w:pPr>
      <w:r w:rsidRPr="00F724E7">
        <w:t xml:space="preserve">Kocaoglu, S.S. 1975. </w:t>
      </w:r>
      <w:proofErr w:type="gramStart"/>
      <w:r w:rsidRPr="00F724E7">
        <w:t>Reconnaissance soil survey of the Sand River area (73L).</w:t>
      </w:r>
      <w:proofErr w:type="gramEnd"/>
      <w:r w:rsidRPr="00F724E7">
        <w:t xml:space="preserve"> </w:t>
      </w:r>
      <w:proofErr w:type="gramStart"/>
      <w:r w:rsidRPr="00F724E7">
        <w:t>University of Alberta.</w:t>
      </w:r>
      <w:proofErr w:type="gramEnd"/>
      <w:r w:rsidRPr="00F724E7">
        <w:t xml:space="preserve"> Bulletin No. </w:t>
      </w:r>
      <w:proofErr w:type="gramStart"/>
      <w:r w:rsidRPr="00F724E7">
        <w:t>SS–15.</w:t>
      </w:r>
      <w:proofErr w:type="gramEnd"/>
      <w:r w:rsidRPr="00F724E7">
        <w:t xml:space="preserve"> Edmonton, AB.</w:t>
      </w:r>
    </w:p>
    <w:p w:rsidR="008222D9" w:rsidRPr="00F724E7" w:rsidRDefault="008222D9" w:rsidP="00F724E7">
      <w:pPr>
        <w:pStyle w:val="References"/>
        <w:numPr>
          <w:ilvl w:val="12"/>
          <w:numId w:val="0"/>
        </w:numPr>
        <w:spacing w:after="60"/>
        <w:ind w:left="187" w:hanging="187"/>
      </w:pPr>
      <w:proofErr w:type="gramStart"/>
      <w:r w:rsidRPr="00F724E7">
        <w:t>Kocaoglu, S.S.; Bennett, K.E. 1983.</w:t>
      </w:r>
      <w:proofErr w:type="gramEnd"/>
      <w:r w:rsidRPr="00F724E7">
        <w:t xml:space="preserve"> An integrated resource inventory of the Special Lakeland area, physical land and forage classifications. Alberta Energy and Natural Resources, Edmonton, AB. ENR Report Number T/48.</w:t>
      </w:r>
    </w:p>
    <w:p w:rsidR="008222D9" w:rsidRPr="00F724E7" w:rsidRDefault="008222D9" w:rsidP="00F724E7">
      <w:pPr>
        <w:pStyle w:val="References"/>
        <w:numPr>
          <w:ilvl w:val="12"/>
          <w:numId w:val="0"/>
        </w:numPr>
        <w:spacing w:after="60"/>
        <w:ind w:left="187" w:hanging="187"/>
      </w:pPr>
      <w:r w:rsidRPr="00F724E7">
        <w:t xml:space="preserve">Longley, R.W. 1970. </w:t>
      </w:r>
      <w:proofErr w:type="gramStart"/>
      <w:r w:rsidRPr="00F724E7">
        <w:t>Climatic classification for Alberta forestry.</w:t>
      </w:r>
      <w:proofErr w:type="gramEnd"/>
      <w:r w:rsidRPr="00F724E7">
        <w:t xml:space="preserve"> pp. 147–153. In: Proceedings of the Third Forest Microclimate Symposium. </w:t>
      </w:r>
      <w:proofErr w:type="gramStart"/>
      <w:r w:rsidRPr="00F724E7">
        <w:t>Powell, J.M.; Nolasco, C.F. (editors).</w:t>
      </w:r>
      <w:proofErr w:type="gramEnd"/>
      <w:r w:rsidRPr="00F724E7">
        <w:t xml:space="preserve"> Seebe, Alberta, September 23–26, 1969. </w:t>
      </w:r>
      <w:proofErr w:type="gramStart"/>
      <w:r w:rsidRPr="00F724E7">
        <w:t>Canadian Department of Fisheries and Forestry, Canadian Forestry Service, Forest Research Lab, Calgary, AB.</w:t>
      </w:r>
      <w:proofErr w:type="gramEnd"/>
      <w:r w:rsidRPr="00F724E7">
        <w:t xml:space="preserve"> </w:t>
      </w:r>
    </w:p>
    <w:p w:rsidR="008222D9" w:rsidRPr="00F724E7" w:rsidRDefault="008222D9" w:rsidP="00F724E7">
      <w:pPr>
        <w:pStyle w:val="References"/>
        <w:numPr>
          <w:ilvl w:val="12"/>
          <w:numId w:val="0"/>
        </w:numPr>
        <w:spacing w:after="60"/>
        <w:ind w:left="187" w:hanging="187"/>
      </w:pPr>
      <w:proofErr w:type="gramStart"/>
      <w:r w:rsidRPr="00F724E7">
        <w:t>Maser, C. 1994.</w:t>
      </w:r>
      <w:proofErr w:type="gramEnd"/>
      <w:r w:rsidRPr="00F724E7">
        <w:t xml:space="preserve"> </w:t>
      </w:r>
      <w:proofErr w:type="gramStart"/>
      <w:r w:rsidRPr="00F724E7">
        <w:t>Sustainable forestry; philosophy, science and economics.</w:t>
      </w:r>
      <w:proofErr w:type="gramEnd"/>
      <w:r w:rsidRPr="00F724E7">
        <w:t xml:space="preserve"> </w:t>
      </w:r>
      <w:proofErr w:type="gramStart"/>
      <w:r w:rsidRPr="00F724E7">
        <w:t>St. Lucie Press, Delray Beach, FL.</w:t>
      </w:r>
      <w:proofErr w:type="gramEnd"/>
    </w:p>
    <w:p w:rsidR="008222D9" w:rsidRDefault="008222D9" w:rsidP="00CE372D">
      <w:pPr>
        <w:pStyle w:val="References"/>
        <w:numPr>
          <w:ilvl w:val="12"/>
          <w:numId w:val="0"/>
        </w:numPr>
        <w:spacing w:after="60"/>
        <w:ind w:left="187" w:hanging="187"/>
      </w:pPr>
      <w:r>
        <w:t xml:space="preserve">McCullough, Annette.  </w:t>
      </w:r>
      <w:proofErr w:type="gramStart"/>
      <w:r>
        <w:t>2011. Cold Lake First Nations Traditional Kno</w:t>
      </w:r>
      <w:r w:rsidR="007E6DAA">
        <w:t>wledge Study</w:t>
      </w:r>
      <w:r>
        <w:t>.</w:t>
      </w:r>
      <w:proofErr w:type="gramEnd"/>
      <w:r>
        <w:t xml:space="preserve"> FMA Heritage/Nu Nenne-Stantec Inc.</w:t>
      </w:r>
    </w:p>
    <w:p w:rsidR="008222D9" w:rsidRPr="00155393" w:rsidRDefault="008222D9" w:rsidP="00155393">
      <w:pPr>
        <w:pStyle w:val="Citation"/>
        <w:spacing w:after="60"/>
        <w:ind w:left="198" w:hanging="198"/>
        <w:rPr>
          <w:sz w:val="20"/>
          <w:lang w:val="en-US"/>
        </w:rPr>
      </w:pPr>
      <w:proofErr w:type="gramStart"/>
      <w:r w:rsidRPr="00155393">
        <w:rPr>
          <w:sz w:val="20"/>
          <w:lang w:val="en-US"/>
        </w:rPr>
        <w:t>Messier, F. 1994.</w:t>
      </w:r>
      <w:proofErr w:type="gramEnd"/>
      <w:r w:rsidRPr="00155393">
        <w:rPr>
          <w:sz w:val="20"/>
          <w:lang w:val="en-US"/>
        </w:rPr>
        <w:t xml:space="preserve"> Ungulate population models with predation: a case study with the North American moose. </w:t>
      </w:r>
      <w:proofErr w:type="gramStart"/>
      <w:r w:rsidRPr="00155393">
        <w:rPr>
          <w:sz w:val="20"/>
          <w:lang w:val="en-US"/>
        </w:rPr>
        <w:t>Ecology.</w:t>
      </w:r>
      <w:proofErr w:type="gramEnd"/>
      <w:r w:rsidRPr="00155393">
        <w:rPr>
          <w:sz w:val="20"/>
          <w:lang w:val="en-US"/>
        </w:rPr>
        <w:t xml:space="preserve"> 75: 478-488.</w:t>
      </w:r>
    </w:p>
    <w:p w:rsidR="008222D9" w:rsidRPr="00155393" w:rsidRDefault="008222D9" w:rsidP="00155393">
      <w:pPr>
        <w:pStyle w:val="Citation"/>
        <w:spacing w:after="60"/>
        <w:ind w:left="198" w:hanging="198"/>
        <w:rPr>
          <w:sz w:val="20"/>
          <w:lang w:val="en-US"/>
        </w:rPr>
      </w:pPr>
      <w:proofErr w:type="gramStart"/>
      <w:r w:rsidRPr="00155393">
        <w:rPr>
          <w:sz w:val="20"/>
          <w:lang w:val="en-US"/>
        </w:rPr>
        <w:t>Messier, F., and M. Crete.</w:t>
      </w:r>
      <w:proofErr w:type="gramEnd"/>
      <w:r w:rsidRPr="00155393">
        <w:rPr>
          <w:sz w:val="20"/>
          <w:lang w:val="en-US"/>
        </w:rPr>
        <w:t xml:space="preserve"> 1985. Moose-wolf dynamics and the natural regulation of moose populations. </w:t>
      </w:r>
      <w:proofErr w:type="gramStart"/>
      <w:r w:rsidRPr="00155393">
        <w:rPr>
          <w:sz w:val="20"/>
          <w:lang w:val="en-US"/>
        </w:rPr>
        <w:t>Oecologia.</w:t>
      </w:r>
      <w:proofErr w:type="gramEnd"/>
      <w:r w:rsidRPr="00155393">
        <w:rPr>
          <w:sz w:val="20"/>
          <w:lang w:val="en-US"/>
        </w:rPr>
        <w:t xml:space="preserve"> </w:t>
      </w:r>
      <w:proofErr w:type="gramStart"/>
      <w:r w:rsidRPr="00155393">
        <w:rPr>
          <w:sz w:val="20"/>
          <w:lang w:val="en-US"/>
        </w:rPr>
        <w:t>65: 503-5 12.</w:t>
      </w:r>
      <w:proofErr w:type="gramEnd"/>
    </w:p>
    <w:p w:rsidR="008222D9" w:rsidRPr="00F724E7" w:rsidRDefault="008222D9" w:rsidP="00F724E7">
      <w:pPr>
        <w:pStyle w:val="References"/>
        <w:numPr>
          <w:ilvl w:val="12"/>
          <w:numId w:val="0"/>
        </w:numPr>
        <w:spacing w:after="60"/>
        <w:ind w:left="187" w:hanging="187"/>
      </w:pPr>
      <w:proofErr w:type="gramStart"/>
      <w:r w:rsidRPr="00F724E7">
        <w:t>Moss, E.H. 1983.</w:t>
      </w:r>
      <w:proofErr w:type="gramEnd"/>
      <w:r w:rsidRPr="00F724E7">
        <w:t xml:space="preserve"> </w:t>
      </w:r>
      <w:proofErr w:type="gramStart"/>
      <w:r w:rsidRPr="00F724E7">
        <w:t>Flora of Alberta.</w:t>
      </w:r>
      <w:proofErr w:type="gramEnd"/>
      <w:r w:rsidRPr="00F724E7">
        <w:t xml:space="preserve"> A manual of flowering plants, conifers, ferns and fern allies found growing without cultivation in the province of Alberta, Canada. </w:t>
      </w:r>
      <w:proofErr w:type="gramStart"/>
      <w:r w:rsidRPr="00F724E7">
        <w:t>2nd edition.</w:t>
      </w:r>
      <w:proofErr w:type="gramEnd"/>
      <w:r w:rsidRPr="00F724E7">
        <w:t xml:space="preserve"> </w:t>
      </w:r>
      <w:proofErr w:type="gramStart"/>
      <w:r w:rsidRPr="00F724E7">
        <w:t>Revised by Packer, J.G. University of Toronto Press, Toronto, ON.</w:t>
      </w:r>
      <w:proofErr w:type="gramEnd"/>
    </w:p>
    <w:p w:rsidR="008222D9" w:rsidRPr="00F724E7" w:rsidRDefault="008222D9" w:rsidP="00F724E7">
      <w:pPr>
        <w:pStyle w:val="References"/>
        <w:widowControl w:val="0"/>
        <w:numPr>
          <w:ilvl w:val="12"/>
          <w:numId w:val="0"/>
        </w:numPr>
        <w:spacing w:after="60"/>
        <w:ind w:left="187" w:hanging="187"/>
      </w:pPr>
      <w:r w:rsidRPr="00F724E7">
        <w:t xml:space="preserve">Murphy, P.J. 1985. </w:t>
      </w:r>
      <w:proofErr w:type="gramStart"/>
      <w:r w:rsidRPr="00F724E7">
        <w:t>History of forest and prairie fire control policy in Alberta.</w:t>
      </w:r>
      <w:proofErr w:type="gramEnd"/>
      <w:r w:rsidRPr="00F724E7">
        <w:t xml:space="preserve"> Report T/77, Alberta Energy and Natural Resources, Edmonton, AB.</w:t>
      </w:r>
    </w:p>
    <w:p w:rsidR="008222D9" w:rsidRPr="00F724E7" w:rsidRDefault="008222D9" w:rsidP="00F724E7">
      <w:pPr>
        <w:pStyle w:val="References"/>
        <w:numPr>
          <w:ilvl w:val="12"/>
          <w:numId w:val="0"/>
        </w:numPr>
        <w:spacing w:after="60"/>
        <w:ind w:left="187" w:hanging="187"/>
      </w:pPr>
      <w:proofErr w:type="gramStart"/>
      <w:r w:rsidRPr="00F724E7">
        <w:t>Nelson, J.S.; Paetz, M.J. 1992.</w:t>
      </w:r>
      <w:proofErr w:type="gramEnd"/>
      <w:r w:rsidRPr="00F724E7">
        <w:t xml:space="preserve"> </w:t>
      </w:r>
      <w:proofErr w:type="gramStart"/>
      <w:r w:rsidRPr="00F724E7">
        <w:t>The fishes of Alberta.</w:t>
      </w:r>
      <w:proofErr w:type="gramEnd"/>
      <w:r w:rsidRPr="00F724E7">
        <w:t xml:space="preserve"> </w:t>
      </w:r>
      <w:proofErr w:type="gramStart"/>
      <w:r w:rsidRPr="00F724E7">
        <w:t>2nd edition.</w:t>
      </w:r>
      <w:proofErr w:type="gramEnd"/>
      <w:r w:rsidRPr="00F724E7">
        <w:t xml:space="preserve"> </w:t>
      </w:r>
      <w:proofErr w:type="gramStart"/>
      <w:r w:rsidRPr="00F724E7">
        <w:t>University of Alberta Press, Edmonton, AB.</w:t>
      </w:r>
      <w:proofErr w:type="gramEnd"/>
    </w:p>
    <w:p w:rsidR="008222D9" w:rsidRPr="00F724E7" w:rsidRDefault="008222D9" w:rsidP="00F724E7">
      <w:pPr>
        <w:pStyle w:val="References"/>
        <w:numPr>
          <w:ilvl w:val="12"/>
          <w:numId w:val="0"/>
        </w:numPr>
        <w:spacing w:after="60"/>
        <w:ind w:left="187" w:hanging="187"/>
      </w:pPr>
      <w:r w:rsidRPr="00F724E7">
        <w:t xml:space="preserve">Oliver, C.D. 1992. </w:t>
      </w:r>
      <w:proofErr w:type="gramStart"/>
      <w:r w:rsidRPr="00F724E7">
        <w:t>Similarities of stand structures and stand development processes throughout the world – some evidence and applications to silviculture through adaptive management.</w:t>
      </w:r>
      <w:proofErr w:type="gramEnd"/>
      <w:r w:rsidRPr="00F724E7">
        <w:t xml:space="preserve"> pp. 11–26. In: The ecology and silviculture of mixed-species forests. Kelty, M.J. (editor). Kluwer Academic Publishers, Dordrecht, </w:t>
      </w:r>
      <w:proofErr w:type="gramStart"/>
      <w:r w:rsidRPr="00F724E7">
        <w:t>The</w:t>
      </w:r>
      <w:proofErr w:type="gramEnd"/>
      <w:r w:rsidRPr="00F724E7">
        <w:t xml:space="preserve"> Netherlands.</w:t>
      </w:r>
    </w:p>
    <w:p w:rsidR="008222D9" w:rsidRPr="00155393" w:rsidRDefault="008222D9" w:rsidP="00155393">
      <w:pPr>
        <w:pStyle w:val="Citation"/>
        <w:spacing w:after="60"/>
        <w:ind w:left="198" w:hanging="198"/>
        <w:rPr>
          <w:sz w:val="20"/>
          <w:lang w:val="en-US"/>
        </w:rPr>
      </w:pPr>
      <w:proofErr w:type="gramStart"/>
      <w:r w:rsidRPr="00155393">
        <w:rPr>
          <w:sz w:val="20"/>
          <w:lang w:val="en-US"/>
        </w:rPr>
        <w:t>Osko, T.J., M.N. Hiltz, R.J. Hudson, and S.M. Wasel.</w:t>
      </w:r>
      <w:proofErr w:type="gramEnd"/>
      <w:r w:rsidRPr="00155393">
        <w:rPr>
          <w:sz w:val="20"/>
          <w:lang w:val="en-US"/>
        </w:rPr>
        <w:t xml:space="preserve"> 2004. Moose habitat preferences in response to changing availability. </w:t>
      </w:r>
      <w:proofErr w:type="gramStart"/>
      <w:r w:rsidRPr="00155393">
        <w:rPr>
          <w:sz w:val="20"/>
          <w:lang w:val="en-US"/>
        </w:rPr>
        <w:t>Journal of Wildlife Management.</w:t>
      </w:r>
      <w:proofErr w:type="gramEnd"/>
      <w:r w:rsidRPr="00155393">
        <w:rPr>
          <w:sz w:val="20"/>
          <w:lang w:val="en-US"/>
        </w:rPr>
        <w:t xml:space="preserve"> 68: 576-584.</w:t>
      </w:r>
    </w:p>
    <w:p w:rsidR="008222D9" w:rsidRPr="00F724E7" w:rsidRDefault="008222D9" w:rsidP="00F724E7">
      <w:pPr>
        <w:pStyle w:val="References"/>
        <w:numPr>
          <w:ilvl w:val="12"/>
          <w:numId w:val="0"/>
        </w:numPr>
        <w:spacing w:after="60"/>
        <w:ind w:left="187" w:hanging="187"/>
      </w:pPr>
      <w:proofErr w:type="gramStart"/>
      <w:r w:rsidRPr="00F724E7">
        <w:lastRenderedPageBreak/>
        <w:t>Pattie, L.D.; Hoffmann, R.S. 1992.</w:t>
      </w:r>
      <w:proofErr w:type="gramEnd"/>
      <w:r w:rsidRPr="00F724E7">
        <w:t xml:space="preserve"> </w:t>
      </w:r>
      <w:proofErr w:type="gramStart"/>
      <w:r w:rsidRPr="00F724E7">
        <w:t>Mammals of the North American parks and prairies.</w:t>
      </w:r>
      <w:proofErr w:type="gramEnd"/>
      <w:r w:rsidRPr="00F724E7">
        <w:t xml:space="preserve"> </w:t>
      </w:r>
      <w:proofErr w:type="gramStart"/>
      <w:r w:rsidRPr="00F724E7">
        <w:t>2nd edition.</w:t>
      </w:r>
      <w:proofErr w:type="gramEnd"/>
      <w:r w:rsidRPr="00F724E7">
        <w:t xml:space="preserve"> </w:t>
      </w:r>
      <w:proofErr w:type="gramStart"/>
      <w:r w:rsidRPr="00F724E7">
        <w:t>11762–106 Street, Edmonton, AB.</w:t>
      </w:r>
      <w:proofErr w:type="gramEnd"/>
    </w:p>
    <w:p w:rsidR="008222D9" w:rsidRPr="00F724E7" w:rsidRDefault="008222D9" w:rsidP="00F724E7">
      <w:pPr>
        <w:pStyle w:val="References"/>
        <w:widowControl w:val="0"/>
        <w:numPr>
          <w:ilvl w:val="12"/>
          <w:numId w:val="0"/>
        </w:numPr>
        <w:spacing w:after="60"/>
        <w:ind w:left="187" w:hanging="187"/>
      </w:pPr>
      <w:proofErr w:type="gramStart"/>
      <w:r w:rsidRPr="00F724E7">
        <w:t>Payette, S.; Morneau, C.; Sirois, L.; Desponts, M. 1989.</w:t>
      </w:r>
      <w:proofErr w:type="gramEnd"/>
      <w:r w:rsidRPr="00F724E7">
        <w:t xml:space="preserve"> </w:t>
      </w:r>
      <w:proofErr w:type="gramStart"/>
      <w:r w:rsidRPr="00F724E7">
        <w:t>Recent fire history of the northern Quebec biomes.</w:t>
      </w:r>
      <w:proofErr w:type="gramEnd"/>
      <w:r w:rsidRPr="00F724E7">
        <w:t xml:space="preserve"> Ecology 70:656–</w:t>
      </w:r>
      <w:r w:rsidRPr="00F724E7">
        <w:softHyphen/>
        <w:t>673.</w:t>
      </w:r>
    </w:p>
    <w:p w:rsidR="008222D9" w:rsidRDefault="008222D9" w:rsidP="00CE372D">
      <w:pPr>
        <w:pStyle w:val="References"/>
        <w:numPr>
          <w:ilvl w:val="12"/>
          <w:numId w:val="0"/>
        </w:numPr>
        <w:spacing w:after="60"/>
        <w:ind w:left="187" w:hanging="187"/>
      </w:pPr>
      <w:proofErr w:type="gramStart"/>
      <w:r>
        <w:t>Personal Communication.</w:t>
      </w:r>
      <w:proofErr w:type="gramEnd"/>
      <w:r>
        <w:t xml:space="preserve"> Michael Sullivan. </w:t>
      </w:r>
      <w:proofErr w:type="gramStart"/>
      <w:r>
        <w:t>Provincial Fisheries Biologist.</w:t>
      </w:r>
      <w:proofErr w:type="gramEnd"/>
      <w:r>
        <w:t xml:space="preserve"> Government of Alberta, Edmonton</w:t>
      </w:r>
    </w:p>
    <w:p w:rsidR="008222D9" w:rsidRPr="00F724E7" w:rsidRDefault="008222D9" w:rsidP="00F724E7">
      <w:pPr>
        <w:pStyle w:val="References"/>
        <w:widowControl w:val="0"/>
        <w:numPr>
          <w:ilvl w:val="12"/>
          <w:numId w:val="0"/>
        </w:numPr>
        <w:spacing w:after="60"/>
        <w:ind w:left="187" w:hanging="187"/>
      </w:pPr>
      <w:proofErr w:type="gramStart"/>
      <w:r w:rsidRPr="00F724E7">
        <w:t>Peterson, E.B.; Peterson, N.M. 1992.</w:t>
      </w:r>
      <w:proofErr w:type="gramEnd"/>
      <w:r w:rsidRPr="00F724E7">
        <w:t xml:space="preserve"> Ecology, management and use of aspen and balsam poplar in the </w:t>
      </w:r>
      <w:proofErr w:type="gramStart"/>
      <w:r w:rsidRPr="00F724E7">
        <w:t>prairie provinces</w:t>
      </w:r>
      <w:proofErr w:type="gramEnd"/>
      <w:r w:rsidRPr="00F724E7">
        <w:t xml:space="preserve">. </w:t>
      </w:r>
      <w:proofErr w:type="gramStart"/>
      <w:r w:rsidRPr="00F724E7">
        <w:t>Special Report 1, Forestry Canada, Edmonton, AB.</w:t>
      </w:r>
      <w:proofErr w:type="gramEnd"/>
    </w:p>
    <w:p w:rsidR="008222D9" w:rsidRPr="00F724E7" w:rsidRDefault="008222D9" w:rsidP="00F724E7">
      <w:pPr>
        <w:pStyle w:val="References"/>
        <w:widowControl w:val="0"/>
        <w:numPr>
          <w:ilvl w:val="12"/>
          <w:numId w:val="0"/>
        </w:numPr>
        <w:spacing w:after="60"/>
        <w:ind w:left="187" w:hanging="187"/>
      </w:pPr>
      <w:proofErr w:type="gramStart"/>
      <w:r w:rsidRPr="00F724E7">
        <w:t>Pickett, S.T.A.; White P.S. 1985.</w:t>
      </w:r>
      <w:proofErr w:type="gramEnd"/>
      <w:r w:rsidRPr="00F724E7">
        <w:t xml:space="preserve"> </w:t>
      </w:r>
      <w:proofErr w:type="gramStart"/>
      <w:r w:rsidRPr="00F724E7">
        <w:t>The ecology of natural disturbance and patch dynamics.</w:t>
      </w:r>
      <w:proofErr w:type="gramEnd"/>
      <w:r w:rsidRPr="00F724E7">
        <w:t xml:space="preserve"> </w:t>
      </w:r>
      <w:proofErr w:type="gramStart"/>
      <w:r w:rsidRPr="00F724E7">
        <w:t>Academic Press.</w:t>
      </w:r>
      <w:proofErr w:type="gramEnd"/>
      <w:r w:rsidRPr="00F724E7">
        <w:t xml:space="preserve"> New York, N.Y.</w:t>
      </w:r>
    </w:p>
    <w:p w:rsidR="008222D9" w:rsidRPr="00155393" w:rsidRDefault="008222D9" w:rsidP="00155393">
      <w:pPr>
        <w:pStyle w:val="Citation"/>
        <w:spacing w:after="60"/>
        <w:ind w:left="198" w:hanging="198"/>
        <w:rPr>
          <w:sz w:val="20"/>
          <w:lang w:val="en-US"/>
        </w:rPr>
      </w:pPr>
      <w:r w:rsidRPr="00155393">
        <w:rPr>
          <w:sz w:val="20"/>
          <w:lang w:val="en-US"/>
        </w:rPr>
        <w:t xml:space="preserve">Pyc, C.D. 1999. Resource management in Wood Buffalo National Park: striving for cooperation. </w:t>
      </w:r>
      <w:proofErr w:type="gramStart"/>
      <w:r w:rsidRPr="00155393">
        <w:rPr>
          <w:sz w:val="20"/>
          <w:lang w:val="en-US"/>
        </w:rPr>
        <w:t>Unpublished M.Sc. Thesis., University of Calgary, Calgary, AB. 144 pp.</w:t>
      </w:r>
      <w:proofErr w:type="gramEnd"/>
    </w:p>
    <w:p w:rsidR="008222D9" w:rsidRDefault="008222D9" w:rsidP="00F724E7">
      <w:pPr>
        <w:pStyle w:val="References"/>
        <w:numPr>
          <w:ilvl w:val="12"/>
          <w:numId w:val="0"/>
        </w:numPr>
        <w:spacing w:after="60"/>
        <w:ind w:left="187" w:hanging="187"/>
      </w:pPr>
      <w:r w:rsidRPr="00F724E7">
        <w:t xml:space="preserve">Rowe, J.S. 1972. </w:t>
      </w:r>
      <w:proofErr w:type="gramStart"/>
      <w:r w:rsidRPr="00F724E7">
        <w:t>Forest regions of Canada.</w:t>
      </w:r>
      <w:proofErr w:type="gramEnd"/>
      <w:r w:rsidRPr="00F724E7">
        <w:t xml:space="preserve"> </w:t>
      </w:r>
      <w:proofErr w:type="gramStart"/>
      <w:r w:rsidRPr="00F724E7">
        <w:t>Canadian Department of Fisheries and Environment, Canadian Forest Service</w:t>
      </w:r>
      <w:r>
        <w:t>, Ottawa, ON.</w:t>
      </w:r>
      <w:proofErr w:type="gramEnd"/>
      <w:r>
        <w:t xml:space="preserve"> </w:t>
      </w:r>
      <w:proofErr w:type="gramStart"/>
      <w:r>
        <w:t>Publication 1300.</w:t>
      </w:r>
      <w:proofErr w:type="gramEnd"/>
    </w:p>
    <w:p w:rsidR="008222D9" w:rsidRPr="00F724E7" w:rsidRDefault="008222D9" w:rsidP="00F724E7">
      <w:pPr>
        <w:pStyle w:val="References"/>
        <w:numPr>
          <w:ilvl w:val="12"/>
          <w:numId w:val="0"/>
        </w:numPr>
        <w:spacing w:after="60"/>
        <w:ind w:left="187" w:hanging="187"/>
        <w:rPr>
          <w:b/>
          <w:bCs/>
        </w:rPr>
      </w:pPr>
      <w:proofErr w:type="gramStart"/>
      <w:r w:rsidRPr="00F724E7">
        <w:t>Rowe, J.S.; Scotter, G.W. 1973.</w:t>
      </w:r>
      <w:proofErr w:type="gramEnd"/>
      <w:r w:rsidRPr="00F724E7">
        <w:t xml:space="preserve"> </w:t>
      </w:r>
      <w:proofErr w:type="gramStart"/>
      <w:r w:rsidRPr="00F724E7">
        <w:t>Fire in the boreal forest.</w:t>
      </w:r>
      <w:proofErr w:type="gramEnd"/>
      <w:r w:rsidRPr="00F724E7">
        <w:t xml:space="preserve"> Quaternary Research 3:444–464.</w:t>
      </w:r>
    </w:p>
    <w:p w:rsidR="008222D9" w:rsidRPr="00F724E7" w:rsidRDefault="008222D9" w:rsidP="00F724E7">
      <w:pPr>
        <w:pStyle w:val="References"/>
        <w:numPr>
          <w:ilvl w:val="12"/>
          <w:numId w:val="0"/>
        </w:numPr>
        <w:spacing w:after="60"/>
        <w:ind w:left="187" w:hanging="187"/>
      </w:pPr>
      <w:proofErr w:type="gramStart"/>
      <w:r w:rsidRPr="00F724E7">
        <w:t>Russell, A.P.; Bauer, A.M. 1993.</w:t>
      </w:r>
      <w:proofErr w:type="gramEnd"/>
      <w:r w:rsidRPr="00F724E7">
        <w:t xml:space="preserve"> </w:t>
      </w:r>
      <w:proofErr w:type="gramStart"/>
      <w:r w:rsidRPr="00F724E7">
        <w:t>The amphibians and reptiles of Alberta.</w:t>
      </w:r>
      <w:proofErr w:type="gramEnd"/>
      <w:r w:rsidRPr="00F724E7">
        <w:t xml:space="preserve"> </w:t>
      </w:r>
      <w:proofErr w:type="gramStart"/>
      <w:r w:rsidRPr="00F724E7">
        <w:t>University of Calgary Press, Calgary, AB.</w:t>
      </w:r>
      <w:proofErr w:type="gramEnd"/>
    </w:p>
    <w:p w:rsidR="008222D9" w:rsidRPr="00155393" w:rsidRDefault="008222D9" w:rsidP="00155393">
      <w:pPr>
        <w:pStyle w:val="Citation"/>
        <w:spacing w:after="60"/>
        <w:ind w:left="198" w:hanging="198"/>
        <w:rPr>
          <w:sz w:val="20"/>
          <w:lang w:val="en-US"/>
        </w:rPr>
      </w:pPr>
      <w:proofErr w:type="gramStart"/>
      <w:r w:rsidRPr="00155393">
        <w:rPr>
          <w:sz w:val="20"/>
          <w:lang w:val="en-US"/>
        </w:rPr>
        <w:t>Schneider, R.R. and S.M. Wasel.</w:t>
      </w:r>
      <w:proofErr w:type="gramEnd"/>
      <w:r w:rsidRPr="00155393">
        <w:rPr>
          <w:sz w:val="20"/>
          <w:lang w:val="en-US"/>
        </w:rPr>
        <w:t xml:space="preserve"> 2000. The effect of human settlement on the density of moose in northern Alberta. </w:t>
      </w:r>
      <w:proofErr w:type="gramStart"/>
      <w:r w:rsidRPr="00155393">
        <w:rPr>
          <w:sz w:val="20"/>
          <w:lang w:val="en-US"/>
        </w:rPr>
        <w:t>Journal of Wildlife Management.</w:t>
      </w:r>
      <w:proofErr w:type="gramEnd"/>
      <w:r w:rsidRPr="00155393">
        <w:rPr>
          <w:sz w:val="20"/>
          <w:lang w:val="en-US"/>
        </w:rPr>
        <w:t xml:space="preserve"> 64: 513-520.</w:t>
      </w:r>
    </w:p>
    <w:p w:rsidR="008222D9" w:rsidRPr="00155393" w:rsidRDefault="008222D9" w:rsidP="00155393">
      <w:pPr>
        <w:pStyle w:val="Citation"/>
        <w:spacing w:after="60"/>
        <w:ind w:left="198" w:hanging="198"/>
        <w:rPr>
          <w:sz w:val="20"/>
        </w:rPr>
      </w:pPr>
      <w:r w:rsidRPr="00155393">
        <w:rPr>
          <w:sz w:val="20"/>
        </w:rPr>
        <w:t xml:space="preserve">Schwartz, C.C. 1992. </w:t>
      </w:r>
      <w:proofErr w:type="gramStart"/>
      <w:r w:rsidRPr="00155393">
        <w:rPr>
          <w:sz w:val="20"/>
        </w:rPr>
        <w:t>Reproductive biology of North American moose.</w:t>
      </w:r>
      <w:proofErr w:type="gramEnd"/>
      <w:r w:rsidRPr="00155393">
        <w:rPr>
          <w:sz w:val="20"/>
        </w:rPr>
        <w:t xml:space="preserve"> </w:t>
      </w:r>
      <w:proofErr w:type="gramStart"/>
      <w:r w:rsidRPr="00155393">
        <w:rPr>
          <w:sz w:val="20"/>
        </w:rPr>
        <w:t>Alces.</w:t>
      </w:r>
      <w:proofErr w:type="gramEnd"/>
      <w:r w:rsidRPr="00155393">
        <w:rPr>
          <w:sz w:val="20"/>
        </w:rPr>
        <w:t xml:space="preserve"> 28: 165-173.</w:t>
      </w:r>
    </w:p>
    <w:p w:rsidR="008222D9" w:rsidRPr="00F724E7" w:rsidRDefault="008222D9" w:rsidP="00F724E7">
      <w:pPr>
        <w:pStyle w:val="References"/>
        <w:numPr>
          <w:ilvl w:val="12"/>
          <w:numId w:val="0"/>
        </w:numPr>
        <w:spacing w:after="60"/>
        <w:ind w:left="187" w:hanging="187"/>
      </w:pPr>
      <w:r w:rsidRPr="00F724E7">
        <w:t xml:space="preserve">Semenchuk, G.P. 1992. </w:t>
      </w:r>
      <w:proofErr w:type="gramStart"/>
      <w:r w:rsidRPr="00F724E7">
        <w:t>The atlas of breeding birds of Alberta.</w:t>
      </w:r>
      <w:proofErr w:type="gramEnd"/>
      <w:r w:rsidRPr="00F724E7">
        <w:t xml:space="preserve"> </w:t>
      </w:r>
      <w:proofErr w:type="gramStart"/>
      <w:r w:rsidRPr="00F724E7">
        <w:t>Federation of Alberta Naturalists, Edmonton, AB.</w:t>
      </w:r>
      <w:proofErr w:type="gramEnd"/>
    </w:p>
    <w:p w:rsidR="008222D9" w:rsidRPr="00F724E7" w:rsidRDefault="008222D9" w:rsidP="00F724E7">
      <w:pPr>
        <w:pStyle w:val="References"/>
        <w:numPr>
          <w:ilvl w:val="12"/>
          <w:numId w:val="0"/>
        </w:numPr>
        <w:spacing w:after="60"/>
        <w:ind w:left="187" w:hanging="187"/>
      </w:pPr>
      <w:r w:rsidRPr="00F724E7">
        <w:t xml:space="preserve">Smith, H.C. 1993. </w:t>
      </w:r>
      <w:proofErr w:type="gramStart"/>
      <w:r w:rsidRPr="00F724E7">
        <w:t>Alberta mammals.</w:t>
      </w:r>
      <w:proofErr w:type="gramEnd"/>
      <w:r w:rsidRPr="00F724E7">
        <w:t xml:space="preserve"> </w:t>
      </w:r>
      <w:proofErr w:type="gramStart"/>
      <w:r w:rsidRPr="00F724E7">
        <w:t>An atlas and guide.</w:t>
      </w:r>
      <w:proofErr w:type="gramEnd"/>
      <w:r w:rsidRPr="00F724E7">
        <w:t xml:space="preserve"> </w:t>
      </w:r>
      <w:proofErr w:type="gramStart"/>
      <w:r w:rsidRPr="00F724E7">
        <w:t>Provincial Museum of Alberta, Edmonton, AB. 239 pp.</w:t>
      </w:r>
      <w:proofErr w:type="gramEnd"/>
    </w:p>
    <w:p w:rsidR="008222D9" w:rsidRPr="00F724E7" w:rsidRDefault="008222D9" w:rsidP="00F724E7">
      <w:pPr>
        <w:spacing w:after="60"/>
        <w:ind w:left="284" w:hanging="284"/>
        <w:rPr>
          <w:sz w:val="20"/>
          <w:szCs w:val="20"/>
        </w:rPr>
      </w:pPr>
      <w:r>
        <w:rPr>
          <w:sz w:val="20"/>
          <w:szCs w:val="20"/>
        </w:rPr>
        <w:t>Stelfox</w:t>
      </w:r>
      <w:r w:rsidRPr="00F724E7">
        <w:rPr>
          <w:sz w:val="20"/>
          <w:szCs w:val="20"/>
        </w:rPr>
        <w:t xml:space="preserve">, J. B. 1995. Relationships between stand </w:t>
      </w:r>
      <w:proofErr w:type="gramStart"/>
      <w:r w:rsidRPr="00F724E7">
        <w:rPr>
          <w:sz w:val="20"/>
          <w:szCs w:val="20"/>
        </w:rPr>
        <w:t>age</w:t>
      </w:r>
      <w:proofErr w:type="gramEnd"/>
      <w:r w:rsidRPr="00F724E7">
        <w:rPr>
          <w:sz w:val="20"/>
          <w:szCs w:val="20"/>
        </w:rPr>
        <w:t xml:space="preserve">, stand structure, and biodiversity in aspen mixedwood forests in Alberta. </w:t>
      </w:r>
      <w:proofErr w:type="gramStart"/>
      <w:r w:rsidRPr="00F724E7">
        <w:rPr>
          <w:sz w:val="20"/>
          <w:szCs w:val="20"/>
        </w:rPr>
        <w:t>Alberta Environmental Centre, Vegrevill</w:t>
      </w:r>
      <w:r>
        <w:rPr>
          <w:sz w:val="20"/>
          <w:szCs w:val="20"/>
        </w:rPr>
        <w:t>e</w:t>
      </w:r>
      <w:r w:rsidRPr="00F724E7">
        <w:rPr>
          <w:sz w:val="20"/>
          <w:szCs w:val="20"/>
        </w:rPr>
        <w:t>, AB.</w:t>
      </w:r>
      <w:proofErr w:type="gramEnd"/>
    </w:p>
    <w:p w:rsidR="008222D9" w:rsidRPr="00155393" w:rsidRDefault="008222D9" w:rsidP="00155393">
      <w:pPr>
        <w:pStyle w:val="Citation"/>
        <w:spacing w:after="60"/>
        <w:ind w:left="198" w:hanging="198"/>
        <w:rPr>
          <w:rFonts w:ascii="TimesNewRomanPSMT" w:hAnsi="TimesNewRomanPSMT" w:cs="TimesNewRomanPSMT"/>
          <w:sz w:val="20"/>
          <w:lang w:eastAsia="en-CA"/>
        </w:rPr>
      </w:pPr>
      <w:proofErr w:type="gramStart"/>
      <w:r w:rsidRPr="00155393">
        <w:rPr>
          <w:sz w:val="20"/>
          <w:lang w:val="en-US"/>
        </w:rPr>
        <w:t>Stelfox, J.B. and S.M. Wasel.</w:t>
      </w:r>
      <w:proofErr w:type="gramEnd"/>
      <w:r w:rsidRPr="00155393">
        <w:rPr>
          <w:sz w:val="20"/>
          <w:lang w:val="en-US"/>
        </w:rPr>
        <w:t xml:space="preserve"> 1993. Hunting and harvest. </w:t>
      </w:r>
      <w:r w:rsidRPr="00155393">
        <w:rPr>
          <w:rFonts w:ascii="TimesNewRomanPSMT" w:hAnsi="TimesNewRomanPSMT" w:cs="TimesNewRomanPSMT"/>
          <w:sz w:val="20"/>
          <w:lang w:eastAsia="en-CA"/>
        </w:rPr>
        <w:t xml:space="preserve">pp. 91-106. </w:t>
      </w:r>
      <w:proofErr w:type="gramStart"/>
      <w:r w:rsidRPr="00155393">
        <w:rPr>
          <w:rFonts w:ascii="TimesNewRomanPSMT" w:hAnsi="TimesNewRomanPSMT" w:cs="TimesNewRomanPSMT"/>
          <w:i/>
          <w:sz w:val="20"/>
          <w:lang w:eastAsia="en-CA"/>
        </w:rPr>
        <w:t xml:space="preserve">In </w:t>
      </w:r>
      <w:r w:rsidRPr="00155393">
        <w:rPr>
          <w:rFonts w:ascii="TimesNewRomanPSMT" w:hAnsi="TimesNewRomanPSMT" w:cs="TimesNewRomanPSMT"/>
          <w:sz w:val="20"/>
          <w:lang w:eastAsia="en-CA"/>
        </w:rPr>
        <w:t xml:space="preserve">J.B. Stelfox, ed., </w:t>
      </w:r>
      <w:r w:rsidRPr="00155393">
        <w:rPr>
          <w:i/>
          <w:iCs/>
          <w:sz w:val="20"/>
          <w:lang w:eastAsia="en-CA"/>
        </w:rPr>
        <w:t>Hoofed Mammals of Alberta</w:t>
      </w:r>
      <w:r w:rsidRPr="00155393">
        <w:rPr>
          <w:rFonts w:ascii="TimesNewRomanPSMT" w:hAnsi="TimesNewRomanPSMT" w:cs="TimesNewRomanPSMT"/>
          <w:sz w:val="20"/>
          <w:lang w:eastAsia="en-CA"/>
        </w:rPr>
        <w:t>.</w:t>
      </w:r>
      <w:proofErr w:type="gramEnd"/>
      <w:r w:rsidRPr="00155393">
        <w:rPr>
          <w:rFonts w:ascii="TimesNewRomanPSMT" w:hAnsi="TimesNewRomanPSMT" w:cs="TimesNewRomanPSMT"/>
          <w:sz w:val="20"/>
          <w:lang w:eastAsia="en-CA"/>
        </w:rPr>
        <w:t xml:space="preserve"> </w:t>
      </w:r>
      <w:proofErr w:type="gramStart"/>
      <w:r w:rsidRPr="00155393">
        <w:rPr>
          <w:rFonts w:ascii="TimesNewRomanPSMT" w:hAnsi="TimesNewRomanPSMT" w:cs="TimesNewRomanPSMT"/>
          <w:sz w:val="20"/>
          <w:lang w:eastAsia="en-CA"/>
        </w:rPr>
        <w:t>Lone Pine Publishing.</w:t>
      </w:r>
      <w:proofErr w:type="gramEnd"/>
      <w:r w:rsidRPr="00155393">
        <w:rPr>
          <w:rFonts w:ascii="TimesNewRomanPSMT" w:hAnsi="TimesNewRomanPSMT" w:cs="TimesNewRomanPSMT"/>
          <w:sz w:val="20"/>
          <w:lang w:eastAsia="en-CA"/>
        </w:rPr>
        <w:t xml:space="preserve"> Edmonton, AB.</w:t>
      </w:r>
    </w:p>
    <w:p w:rsidR="008222D9" w:rsidRPr="00F724E7" w:rsidRDefault="008222D9" w:rsidP="00F724E7">
      <w:pPr>
        <w:spacing w:after="60"/>
        <w:ind w:left="284" w:hanging="284"/>
        <w:rPr>
          <w:sz w:val="20"/>
          <w:szCs w:val="20"/>
        </w:rPr>
      </w:pPr>
      <w:r w:rsidRPr="00F724E7">
        <w:rPr>
          <w:sz w:val="20"/>
          <w:szCs w:val="20"/>
        </w:rPr>
        <w:t xml:space="preserve">Sullivan, M. 2011. </w:t>
      </w:r>
      <w:proofErr w:type="gramStart"/>
      <w:r w:rsidRPr="00F724E7">
        <w:rPr>
          <w:sz w:val="20"/>
          <w:szCs w:val="20"/>
        </w:rPr>
        <w:t>Conceptual Framework for Public Motorized Access Management Strategies for Cumulative Effects Modelling.</w:t>
      </w:r>
      <w:proofErr w:type="gramEnd"/>
      <w:r w:rsidRPr="00F724E7">
        <w:rPr>
          <w:sz w:val="20"/>
          <w:szCs w:val="20"/>
        </w:rPr>
        <w:t xml:space="preserve"> </w:t>
      </w:r>
      <w:proofErr w:type="gramStart"/>
      <w:r w:rsidRPr="00F724E7">
        <w:rPr>
          <w:sz w:val="20"/>
          <w:szCs w:val="20"/>
        </w:rPr>
        <w:t>Alberta Sustainable Resource Development.</w:t>
      </w:r>
      <w:proofErr w:type="gramEnd"/>
      <w:r w:rsidRPr="00F724E7">
        <w:rPr>
          <w:sz w:val="20"/>
          <w:szCs w:val="20"/>
        </w:rPr>
        <w:t xml:space="preserve"> </w:t>
      </w:r>
    </w:p>
    <w:p w:rsidR="008222D9" w:rsidRDefault="008222D9" w:rsidP="00CE372D">
      <w:pPr>
        <w:pStyle w:val="References"/>
        <w:numPr>
          <w:ilvl w:val="12"/>
          <w:numId w:val="0"/>
        </w:numPr>
        <w:spacing w:after="60"/>
        <w:ind w:left="187" w:hanging="187"/>
      </w:pPr>
      <w:proofErr w:type="gramStart"/>
      <w:r>
        <w:t>Sullivan, M.G. 2003.</w:t>
      </w:r>
      <w:proofErr w:type="gramEnd"/>
      <w:r>
        <w:t xml:space="preserve"> Active management of walleye fisheries in Alberta: Dilemmas of managing recovering fisheries. </w:t>
      </w:r>
      <w:proofErr w:type="gramStart"/>
      <w:r>
        <w:t>North American Journal of Fisheries Management.</w:t>
      </w:r>
      <w:proofErr w:type="gramEnd"/>
      <w:r>
        <w:t xml:space="preserve"> </w:t>
      </w:r>
      <w:proofErr w:type="gramStart"/>
      <w:r>
        <w:t>Volume 23, Issue 4, 2003.</w:t>
      </w:r>
      <w:proofErr w:type="gramEnd"/>
    </w:p>
    <w:p w:rsidR="008222D9" w:rsidRDefault="008222D9" w:rsidP="00CE372D">
      <w:pPr>
        <w:pStyle w:val="References"/>
        <w:numPr>
          <w:ilvl w:val="12"/>
          <w:numId w:val="0"/>
        </w:numPr>
        <w:spacing w:after="60"/>
        <w:ind w:left="187" w:hanging="187"/>
      </w:pPr>
      <w:proofErr w:type="gramStart"/>
      <w:r>
        <w:t>Syncrude Canada and Birch Mountain Resources.</w:t>
      </w:r>
      <w:proofErr w:type="gramEnd"/>
      <w:r>
        <w:t xml:space="preserve"> </w:t>
      </w:r>
      <w:proofErr w:type="gramStart"/>
      <w:r>
        <w:t>Ancient hunters of the Athabasca lowlands.</w:t>
      </w:r>
      <w:proofErr w:type="gramEnd"/>
      <w:r>
        <w:t xml:space="preserve"> </w:t>
      </w:r>
      <w:proofErr w:type="gramStart"/>
      <w:r>
        <w:t>Syncrude Canada and Birch Mountain Resources.</w:t>
      </w:r>
      <w:proofErr w:type="gramEnd"/>
    </w:p>
    <w:p w:rsidR="008222D9" w:rsidRPr="00155393" w:rsidRDefault="008222D9" w:rsidP="00155393">
      <w:pPr>
        <w:pStyle w:val="Citation"/>
        <w:spacing w:after="60"/>
        <w:ind w:left="198" w:hanging="198"/>
        <w:rPr>
          <w:rFonts w:ascii="TimesNewRomanPSMT" w:hAnsi="TimesNewRomanPSMT" w:cs="TimesNewRomanPSMT"/>
          <w:sz w:val="20"/>
          <w:lang w:eastAsia="en-CA"/>
        </w:rPr>
      </w:pPr>
      <w:proofErr w:type="gramStart"/>
      <w:r w:rsidRPr="00155393">
        <w:rPr>
          <w:rFonts w:ascii="TimesNewRomanPSMT" w:hAnsi="TimesNewRomanPSMT" w:cs="TimesNewRomanPSMT"/>
          <w:sz w:val="20"/>
          <w:lang w:eastAsia="en-CA"/>
        </w:rPr>
        <w:t>Telfer, E.S., and J.P. Kelsall.</w:t>
      </w:r>
      <w:proofErr w:type="gramEnd"/>
      <w:r w:rsidRPr="00155393">
        <w:rPr>
          <w:rFonts w:ascii="TimesNewRomanPSMT" w:hAnsi="TimesNewRomanPSMT" w:cs="TimesNewRomanPSMT"/>
          <w:sz w:val="20"/>
          <w:lang w:eastAsia="en-CA"/>
        </w:rPr>
        <w:t xml:space="preserve"> 1984. Adaptation of some large North American mammals for survival in snow. </w:t>
      </w:r>
      <w:proofErr w:type="gramStart"/>
      <w:r w:rsidRPr="00155393">
        <w:rPr>
          <w:rFonts w:ascii="TimesNewRomanPSMT" w:hAnsi="TimesNewRomanPSMT" w:cs="TimesNewRomanPSMT"/>
          <w:sz w:val="20"/>
          <w:lang w:eastAsia="en-CA"/>
        </w:rPr>
        <w:t>Ecology.</w:t>
      </w:r>
      <w:proofErr w:type="gramEnd"/>
      <w:r w:rsidRPr="00155393">
        <w:rPr>
          <w:rFonts w:ascii="TimesNewRomanPSMT" w:hAnsi="TimesNewRomanPSMT" w:cs="TimesNewRomanPSMT"/>
          <w:sz w:val="20"/>
          <w:lang w:eastAsia="en-CA"/>
        </w:rPr>
        <w:t xml:space="preserve"> 65: 1828-1834.</w:t>
      </w:r>
    </w:p>
    <w:p w:rsidR="008222D9" w:rsidRPr="00F724E7" w:rsidRDefault="008222D9" w:rsidP="00F724E7">
      <w:pPr>
        <w:pStyle w:val="References"/>
        <w:numPr>
          <w:ilvl w:val="12"/>
          <w:numId w:val="0"/>
        </w:numPr>
        <w:spacing w:after="60"/>
        <w:ind w:left="187" w:hanging="187"/>
      </w:pPr>
      <w:proofErr w:type="gramStart"/>
      <w:r w:rsidRPr="00F724E7">
        <w:t>Thomas, J.W.; Anderson, R.B.; Maser, C.; Bull, E.L. 1979.</w:t>
      </w:r>
      <w:proofErr w:type="gramEnd"/>
      <w:r w:rsidRPr="00F724E7">
        <w:t xml:space="preserve"> </w:t>
      </w:r>
      <w:proofErr w:type="gramStart"/>
      <w:r w:rsidRPr="00F724E7">
        <w:t>Snags.</w:t>
      </w:r>
      <w:proofErr w:type="gramEnd"/>
      <w:r w:rsidRPr="00F724E7">
        <w:t xml:space="preserve"> </w:t>
      </w:r>
      <w:proofErr w:type="gramStart"/>
      <w:r w:rsidRPr="00F724E7">
        <w:t>pp. 60</w:t>
      </w:r>
      <w:r w:rsidRPr="00F724E7">
        <w:softHyphen/>
        <w:t>–70.</w:t>
      </w:r>
      <w:proofErr w:type="gramEnd"/>
      <w:r w:rsidRPr="00F724E7">
        <w:t xml:space="preserve"> In: Wildlife habitats in managed forests, the Blue Mountains of Oregon and Washington. Thomas, J.W. (editor). </w:t>
      </w:r>
      <w:proofErr w:type="gramStart"/>
      <w:r w:rsidRPr="00F724E7">
        <w:t>United States Forest Service, Department of Agriculture.</w:t>
      </w:r>
      <w:proofErr w:type="gramEnd"/>
    </w:p>
    <w:p w:rsidR="008222D9" w:rsidRPr="00F724E7" w:rsidRDefault="008222D9" w:rsidP="00F724E7">
      <w:pPr>
        <w:pStyle w:val="References"/>
        <w:numPr>
          <w:ilvl w:val="12"/>
          <w:numId w:val="0"/>
        </w:numPr>
        <w:spacing w:after="60"/>
        <w:ind w:left="187" w:hanging="187"/>
      </w:pPr>
      <w:proofErr w:type="gramStart"/>
      <w:r w:rsidRPr="00F724E7">
        <w:t>Thomas, J.W.; Ruggiero, L.F.; Mannan, R.W.; Schoen, J.W.; Lancia, R.A. 1988.</w:t>
      </w:r>
      <w:proofErr w:type="gramEnd"/>
      <w:r w:rsidRPr="00F724E7">
        <w:t xml:space="preserve"> </w:t>
      </w:r>
      <w:proofErr w:type="gramStart"/>
      <w:r w:rsidRPr="00F724E7">
        <w:t>Management and conservation of old-growth forests in the United States.</w:t>
      </w:r>
      <w:proofErr w:type="gramEnd"/>
      <w:r w:rsidRPr="00F724E7">
        <w:t xml:space="preserve"> Wildlife Society Bulletin 16:252–262.</w:t>
      </w:r>
    </w:p>
    <w:p w:rsidR="008222D9" w:rsidRPr="00F724E7" w:rsidRDefault="008222D9" w:rsidP="00F724E7">
      <w:pPr>
        <w:pStyle w:val="References"/>
        <w:numPr>
          <w:ilvl w:val="12"/>
          <w:numId w:val="0"/>
        </w:numPr>
        <w:spacing w:after="60"/>
        <w:ind w:left="187" w:hanging="187"/>
      </w:pPr>
      <w:r w:rsidRPr="00F724E7">
        <w:t xml:space="preserve">Thorpe, P.T. 1992. </w:t>
      </w:r>
      <w:proofErr w:type="gramStart"/>
      <w:r w:rsidRPr="00F724E7">
        <w:t>Patterns of diversity in the boreal forest.</w:t>
      </w:r>
      <w:proofErr w:type="gramEnd"/>
      <w:r w:rsidRPr="00F724E7">
        <w:t xml:space="preserve"> pp. 65–79. In: The ecology and silviculture of mixed-species forests. Kelty, M.J. (editor). Kluwer Academic Publishers, Dordrecht, </w:t>
      </w:r>
      <w:proofErr w:type="gramStart"/>
      <w:r w:rsidRPr="00F724E7">
        <w:t>The</w:t>
      </w:r>
      <w:proofErr w:type="gramEnd"/>
      <w:r w:rsidRPr="00F724E7">
        <w:t xml:space="preserve"> Netherlands.</w:t>
      </w:r>
    </w:p>
    <w:p w:rsidR="008222D9" w:rsidRPr="00F724E7" w:rsidRDefault="008222D9" w:rsidP="00F724E7">
      <w:pPr>
        <w:spacing w:after="60"/>
        <w:ind w:left="284" w:hanging="284"/>
        <w:rPr>
          <w:sz w:val="20"/>
          <w:szCs w:val="20"/>
        </w:rPr>
      </w:pPr>
      <w:proofErr w:type="gramStart"/>
      <w:r w:rsidRPr="00F724E7">
        <w:rPr>
          <w:sz w:val="20"/>
          <w:szCs w:val="20"/>
        </w:rPr>
        <w:t>Trombulak, S. C., and C. A. Frissell.</w:t>
      </w:r>
      <w:proofErr w:type="gramEnd"/>
      <w:r w:rsidRPr="00F724E7">
        <w:rPr>
          <w:sz w:val="20"/>
          <w:szCs w:val="20"/>
        </w:rPr>
        <w:t xml:space="preserve"> 2000. Review of ecological effects of roads on terrestrial and aquatic communities. Conservation Biology 14(1): 18–30.</w:t>
      </w:r>
    </w:p>
    <w:p w:rsidR="008222D9" w:rsidRPr="00F724E7" w:rsidRDefault="008222D9" w:rsidP="00F724E7">
      <w:pPr>
        <w:pStyle w:val="References"/>
        <w:numPr>
          <w:ilvl w:val="12"/>
          <w:numId w:val="0"/>
        </w:numPr>
        <w:spacing w:after="60"/>
        <w:ind w:left="187" w:hanging="187"/>
      </w:pPr>
      <w:proofErr w:type="gramStart"/>
      <w:r w:rsidRPr="00F724E7">
        <w:t>Vitt, D.H.; Marsh, J.E.; Bovey, R.B. 1988.</w:t>
      </w:r>
      <w:proofErr w:type="gramEnd"/>
      <w:r w:rsidRPr="00F724E7">
        <w:t xml:space="preserve"> </w:t>
      </w:r>
      <w:proofErr w:type="gramStart"/>
      <w:r w:rsidRPr="00F724E7">
        <w:t>Mosses, lichens and ferns of Northwest North America.</w:t>
      </w:r>
      <w:proofErr w:type="gramEnd"/>
      <w:r w:rsidRPr="00F724E7">
        <w:t xml:space="preserve"> </w:t>
      </w:r>
      <w:proofErr w:type="gramStart"/>
      <w:r w:rsidRPr="00F724E7">
        <w:t>Lone Pine Press, Edmonton, AB.</w:t>
      </w:r>
      <w:proofErr w:type="gramEnd"/>
    </w:p>
    <w:p w:rsidR="008222D9" w:rsidRPr="00155393" w:rsidRDefault="008222D9" w:rsidP="00155393">
      <w:pPr>
        <w:pStyle w:val="Citation"/>
        <w:spacing w:after="60"/>
        <w:ind w:left="198" w:hanging="198"/>
        <w:rPr>
          <w:sz w:val="20"/>
          <w:lang w:val="en-US"/>
        </w:rPr>
      </w:pPr>
      <w:proofErr w:type="gramStart"/>
      <w:r w:rsidRPr="00155393">
        <w:rPr>
          <w:sz w:val="20"/>
          <w:lang w:val="en-US"/>
        </w:rPr>
        <w:t>Wein, E.E., J.H. Sabry, and F.T. Evers.</w:t>
      </w:r>
      <w:proofErr w:type="gramEnd"/>
      <w:r w:rsidRPr="00155393">
        <w:rPr>
          <w:sz w:val="20"/>
          <w:lang w:val="en-US"/>
        </w:rPr>
        <w:t xml:space="preserve"> 1991. Food consumption patterns and use of country foods by native Canadians near Wood Buffalo National Park, Canada. </w:t>
      </w:r>
      <w:proofErr w:type="gramStart"/>
      <w:r w:rsidRPr="00155393">
        <w:rPr>
          <w:sz w:val="20"/>
          <w:lang w:val="en-US"/>
        </w:rPr>
        <w:t>Arctic.</w:t>
      </w:r>
      <w:proofErr w:type="gramEnd"/>
      <w:r w:rsidRPr="00155393">
        <w:rPr>
          <w:sz w:val="20"/>
          <w:lang w:val="en-US"/>
        </w:rPr>
        <w:t xml:space="preserve"> 44: 196-205.</w:t>
      </w:r>
    </w:p>
    <w:p w:rsidR="008222D9" w:rsidRDefault="008222D9" w:rsidP="003B08C0">
      <w:pPr>
        <w:pStyle w:val="References"/>
        <w:numPr>
          <w:ilvl w:val="12"/>
          <w:numId w:val="0"/>
        </w:numPr>
        <w:spacing w:after="60"/>
        <w:ind w:left="187" w:hanging="187"/>
      </w:pPr>
      <w:r>
        <w:lastRenderedPageBreak/>
        <w:t xml:space="preserve">Wilson, B., et al. 2008. </w:t>
      </w:r>
      <w:proofErr w:type="gramStart"/>
      <w:r>
        <w:t>Methodologies of the Sustainable Ecosystems Management Framework (TEMF).</w:t>
      </w:r>
      <w:proofErr w:type="gramEnd"/>
      <w:r>
        <w:t xml:space="preserve"> </w:t>
      </w:r>
      <w:proofErr w:type="gramStart"/>
      <w:r>
        <w:t>Data analysis of the Sustainable Ecosystem Working Group (SEWG).</w:t>
      </w:r>
      <w:proofErr w:type="gramEnd"/>
      <w:r>
        <w:t xml:space="preserve"> </w:t>
      </w:r>
      <w:proofErr w:type="gramStart"/>
      <w:r>
        <w:t>CEMA.</w:t>
      </w:r>
      <w:proofErr w:type="gramEnd"/>
    </w:p>
    <w:p w:rsidR="008222D9" w:rsidRDefault="008222D9" w:rsidP="00F724E7">
      <w:pPr>
        <w:pStyle w:val="References"/>
        <w:numPr>
          <w:ilvl w:val="12"/>
          <w:numId w:val="0"/>
        </w:numPr>
        <w:spacing w:after="60"/>
        <w:ind w:left="187" w:hanging="187"/>
      </w:pPr>
      <w:proofErr w:type="gramStart"/>
      <w:r w:rsidRPr="00F724E7">
        <w:t>Wynnyk, A.; Lindsay, J.D.; Heringa, P.K.; Odynsky, W. 1963.</w:t>
      </w:r>
      <w:proofErr w:type="gramEnd"/>
      <w:r w:rsidRPr="00F724E7">
        <w:t xml:space="preserve"> Exploratory soil survey of Alberta Map Sheet 83–O, 83–P, and 73–M, Research Council of Alberta, Preliminary soil survey report 64–1, Alberta Soil Survey. Edmonton, AB.</w:t>
      </w:r>
    </w:p>
    <w:p w:rsidR="00F724E7" w:rsidRPr="007C6461" w:rsidRDefault="00F724E7" w:rsidP="00F724E7">
      <w:pPr>
        <w:pStyle w:val="BodyText"/>
        <w:rPr>
          <w:lang w:val="en-US"/>
        </w:rPr>
      </w:pPr>
    </w:p>
    <w:p w:rsidR="00F724E7" w:rsidRDefault="00F724E7" w:rsidP="00F724E7">
      <w:pPr>
        <w:pStyle w:val="Heading2"/>
        <w:numPr>
          <w:ilvl w:val="12"/>
          <w:numId w:val="0"/>
        </w:numPr>
      </w:pPr>
      <w:bookmarkStart w:id="545" w:name="_Toc325875124"/>
      <w:bookmarkStart w:id="546" w:name="_Toc338703761"/>
      <w:r>
        <w:t>General References</w:t>
      </w:r>
      <w:bookmarkEnd w:id="542"/>
      <w:bookmarkEnd w:id="543"/>
      <w:bookmarkEnd w:id="544"/>
      <w:bookmarkEnd w:id="545"/>
      <w:bookmarkEnd w:id="546"/>
    </w:p>
    <w:p w:rsidR="008222D9" w:rsidRPr="00596CC2" w:rsidRDefault="008222D9" w:rsidP="00F724E7">
      <w:pPr>
        <w:spacing w:after="60"/>
        <w:ind w:left="284" w:hanging="284"/>
        <w:rPr>
          <w:sz w:val="20"/>
          <w:szCs w:val="20"/>
        </w:rPr>
      </w:pPr>
      <w:r w:rsidRPr="00596CC2">
        <w:rPr>
          <w:sz w:val="20"/>
          <w:szCs w:val="20"/>
        </w:rPr>
        <w:t xml:space="preserve"> (S&amp;T</w:t>
      </w:r>
      <w:proofErr w:type="gramStart"/>
      <w:r w:rsidRPr="00596CC2">
        <w:rPr>
          <w:sz w:val="20"/>
          <w:szCs w:val="20"/>
        </w:rPr>
        <w:t>)2</w:t>
      </w:r>
      <w:proofErr w:type="gramEnd"/>
      <w:r w:rsidRPr="00596CC2">
        <w:rPr>
          <w:sz w:val="20"/>
          <w:szCs w:val="20"/>
        </w:rPr>
        <w:t xml:space="preserve"> Consultants Inc. 2010. </w:t>
      </w:r>
      <w:proofErr w:type="gramStart"/>
      <w:r w:rsidRPr="00596CC2">
        <w:rPr>
          <w:sz w:val="20"/>
          <w:szCs w:val="20"/>
        </w:rPr>
        <w:t>The Addition of Unconventional Natural Gas Supply to GHGenuis.</w:t>
      </w:r>
      <w:proofErr w:type="gramEnd"/>
      <w:r w:rsidRPr="00596CC2">
        <w:rPr>
          <w:sz w:val="20"/>
          <w:szCs w:val="20"/>
        </w:rPr>
        <w:t xml:space="preserve"> </w:t>
      </w:r>
      <w:proofErr w:type="gramStart"/>
      <w:r w:rsidRPr="00596CC2">
        <w:rPr>
          <w:sz w:val="20"/>
          <w:szCs w:val="20"/>
        </w:rPr>
        <w:t>Natural Resources Canada, Ottawa, Canada.</w:t>
      </w:r>
      <w:proofErr w:type="gramEnd"/>
    </w:p>
    <w:p w:rsidR="008222D9" w:rsidRPr="00596CC2" w:rsidRDefault="008222D9" w:rsidP="00F724E7">
      <w:pPr>
        <w:spacing w:after="60"/>
        <w:ind w:left="284" w:hanging="284"/>
        <w:rPr>
          <w:sz w:val="20"/>
          <w:szCs w:val="20"/>
        </w:rPr>
      </w:pPr>
      <w:proofErr w:type="gramStart"/>
      <w:r w:rsidRPr="00596CC2">
        <w:rPr>
          <w:sz w:val="20"/>
          <w:szCs w:val="20"/>
        </w:rPr>
        <w:t>Alberta Environment.</w:t>
      </w:r>
      <w:proofErr w:type="gramEnd"/>
      <w:r w:rsidRPr="00596CC2">
        <w:rPr>
          <w:sz w:val="20"/>
          <w:szCs w:val="20"/>
        </w:rPr>
        <w:t xml:space="preserve"> 2007. Current and future water use in Alberta. </w:t>
      </w:r>
      <w:proofErr w:type="gramStart"/>
      <w:r w:rsidRPr="00596CC2">
        <w:rPr>
          <w:sz w:val="20"/>
          <w:szCs w:val="20"/>
        </w:rPr>
        <w:t>Available online at http://www.albertawater.com/index.php?option=com_content&amp;view=article&amp;id=80&amp;Itemid=78.</w:t>
      </w:r>
      <w:proofErr w:type="gramEnd"/>
      <w:r w:rsidRPr="00596CC2">
        <w:rPr>
          <w:sz w:val="20"/>
          <w:szCs w:val="20"/>
        </w:rPr>
        <w:t xml:space="preserve"> </w:t>
      </w:r>
    </w:p>
    <w:p w:rsidR="008222D9" w:rsidRPr="00596CC2" w:rsidRDefault="008222D9" w:rsidP="00F724E7">
      <w:pPr>
        <w:spacing w:after="60"/>
        <w:ind w:left="284" w:hanging="284"/>
        <w:rPr>
          <w:sz w:val="20"/>
          <w:szCs w:val="20"/>
        </w:rPr>
      </w:pPr>
      <w:proofErr w:type="gramStart"/>
      <w:r w:rsidRPr="00596CC2">
        <w:rPr>
          <w:sz w:val="20"/>
          <w:szCs w:val="20"/>
        </w:rPr>
        <w:t>Alberta Municipal Affairs and Housing.</w:t>
      </w:r>
      <w:proofErr w:type="gramEnd"/>
      <w:r w:rsidRPr="00596CC2">
        <w:rPr>
          <w:sz w:val="20"/>
          <w:szCs w:val="20"/>
        </w:rPr>
        <w:t xml:space="preserve"> 2010. Official Alberta Population Lists. Available online: http://www.municipalaffairs.alberta.ca/mc_offical_populations.cfm. </w:t>
      </w:r>
    </w:p>
    <w:p w:rsidR="008222D9" w:rsidRPr="00596CC2" w:rsidRDefault="008222D9" w:rsidP="00F724E7">
      <w:pPr>
        <w:spacing w:after="60"/>
        <w:ind w:left="284" w:hanging="284"/>
        <w:rPr>
          <w:sz w:val="20"/>
          <w:szCs w:val="20"/>
        </w:rPr>
      </w:pPr>
      <w:proofErr w:type="gramStart"/>
      <w:r w:rsidRPr="00596CC2">
        <w:rPr>
          <w:sz w:val="20"/>
          <w:szCs w:val="20"/>
        </w:rPr>
        <w:t>Alberta-Pacific Forest Industries Inc. 2008.</w:t>
      </w:r>
      <w:proofErr w:type="gramEnd"/>
      <w:r w:rsidRPr="00596CC2">
        <w:rPr>
          <w:sz w:val="20"/>
          <w:szCs w:val="20"/>
        </w:rPr>
        <w:t xml:space="preserve"> Alberta-Pacific FMA Area Forest Management Plan (Revised) September 2007 (Approved September 2008). </w:t>
      </w:r>
      <w:proofErr w:type="gramStart"/>
      <w:r w:rsidRPr="00596CC2">
        <w:rPr>
          <w:sz w:val="20"/>
          <w:szCs w:val="20"/>
        </w:rPr>
        <w:t>Alberta-Pacific Forest Industries, Boyle, AB.</w:t>
      </w:r>
      <w:proofErr w:type="gramEnd"/>
    </w:p>
    <w:p w:rsidR="008222D9" w:rsidRPr="00596CC2" w:rsidRDefault="008222D9" w:rsidP="00F724E7">
      <w:pPr>
        <w:spacing w:after="60"/>
        <w:ind w:left="284" w:hanging="284"/>
        <w:rPr>
          <w:sz w:val="20"/>
          <w:szCs w:val="20"/>
        </w:rPr>
      </w:pPr>
      <w:r w:rsidRPr="00596CC2">
        <w:rPr>
          <w:sz w:val="20"/>
          <w:szCs w:val="20"/>
        </w:rPr>
        <w:t>ALCES Group. 2011. Cumulative Effects Assessment for Alberta Pacific Forest Industries. Unpublished report prepared for Alberta Pacific Forest Industries.</w:t>
      </w:r>
    </w:p>
    <w:p w:rsidR="008222D9" w:rsidRPr="00596CC2" w:rsidRDefault="008222D9" w:rsidP="00F724E7">
      <w:pPr>
        <w:spacing w:after="60"/>
        <w:ind w:left="284" w:hanging="284"/>
        <w:rPr>
          <w:sz w:val="20"/>
          <w:szCs w:val="20"/>
        </w:rPr>
      </w:pPr>
      <w:proofErr w:type="gramStart"/>
      <w:r w:rsidRPr="00596CC2">
        <w:rPr>
          <w:sz w:val="20"/>
          <w:szCs w:val="20"/>
        </w:rPr>
        <w:t>Alexander, M. D., L. Qian, T. A. Ryan, and J. Herron.</w:t>
      </w:r>
      <w:proofErr w:type="gramEnd"/>
      <w:r w:rsidRPr="00596CC2">
        <w:rPr>
          <w:sz w:val="20"/>
          <w:szCs w:val="20"/>
        </w:rPr>
        <w:t xml:space="preserve"> 2011. Considerations for Responsible Gas Development of the Frederick Brook Shale in New Brunswick. </w:t>
      </w:r>
      <w:proofErr w:type="gramStart"/>
      <w:r w:rsidRPr="00596CC2">
        <w:rPr>
          <w:sz w:val="20"/>
          <w:szCs w:val="20"/>
        </w:rPr>
        <w:t>Fundy Engineering and Atlantica Centre for Energy.</w:t>
      </w:r>
      <w:proofErr w:type="gramEnd"/>
    </w:p>
    <w:p w:rsidR="008222D9" w:rsidRDefault="008222D9" w:rsidP="00F724E7">
      <w:pPr>
        <w:pStyle w:val="References"/>
        <w:numPr>
          <w:ilvl w:val="12"/>
          <w:numId w:val="0"/>
        </w:numPr>
        <w:spacing w:after="60"/>
        <w:ind w:left="187" w:hanging="187"/>
      </w:pPr>
      <w:proofErr w:type="gramStart"/>
      <w:r>
        <w:t>Anonymous.</w:t>
      </w:r>
      <w:proofErr w:type="gramEnd"/>
      <w:r>
        <w:t xml:space="preserve"> 1993. The state of Canada's forest 1993. Canadian Forest Service, Hull, QB.</w:t>
      </w:r>
    </w:p>
    <w:p w:rsidR="008222D9" w:rsidRPr="00596CC2" w:rsidRDefault="008222D9" w:rsidP="00F724E7">
      <w:pPr>
        <w:spacing w:after="60"/>
        <w:ind w:left="284" w:hanging="284"/>
        <w:rPr>
          <w:sz w:val="20"/>
          <w:szCs w:val="20"/>
        </w:rPr>
      </w:pPr>
      <w:proofErr w:type="gramStart"/>
      <w:r w:rsidRPr="00596CC2">
        <w:rPr>
          <w:sz w:val="20"/>
          <w:szCs w:val="20"/>
        </w:rPr>
        <w:t>ArborVitae Environmental Services.</w:t>
      </w:r>
      <w:proofErr w:type="gramEnd"/>
      <w:r w:rsidRPr="00596CC2">
        <w:rPr>
          <w:sz w:val="20"/>
          <w:szCs w:val="20"/>
        </w:rPr>
        <w:t xml:space="preserve"> 2004. Estimating Future Carbon Losses from Deforestation in Canada. Unpublished report submitted to Canadian Forest Service, Natural Resources Canada.</w:t>
      </w:r>
    </w:p>
    <w:p w:rsidR="008222D9" w:rsidRPr="00B24855" w:rsidRDefault="008222D9" w:rsidP="00F724E7">
      <w:pPr>
        <w:pStyle w:val="Citation"/>
        <w:spacing w:after="60"/>
        <w:ind w:left="198" w:hanging="198"/>
        <w:rPr>
          <w:sz w:val="20"/>
        </w:rPr>
      </w:pPr>
      <w:r w:rsidRPr="00B24855">
        <w:rPr>
          <w:sz w:val="20"/>
        </w:rPr>
        <w:t xml:space="preserve">Armstrong, G.W. 1999. </w:t>
      </w:r>
      <w:proofErr w:type="gramStart"/>
      <w:r w:rsidRPr="00B24855">
        <w:rPr>
          <w:sz w:val="20"/>
        </w:rPr>
        <w:t>A stochastic characterisation of the natural disturbance regime of the boreal mixedwood forest with implications for sustainable forest management.</w:t>
      </w:r>
      <w:proofErr w:type="gramEnd"/>
      <w:r w:rsidRPr="00B24855">
        <w:rPr>
          <w:sz w:val="20"/>
        </w:rPr>
        <w:t xml:space="preserve"> Canadian Journal of Forest Research </w:t>
      </w:r>
      <w:r w:rsidRPr="00B24855">
        <w:rPr>
          <w:bCs/>
          <w:sz w:val="20"/>
        </w:rPr>
        <w:t>29</w:t>
      </w:r>
      <w:r w:rsidRPr="00B24855">
        <w:rPr>
          <w:sz w:val="20"/>
        </w:rPr>
        <w:t>: 424–433.</w:t>
      </w:r>
    </w:p>
    <w:p w:rsidR="008222D9" w:rsidRPr="00596CC2" w:rsidRDefault="008222D9" w:rsidP="00F724E7">
      <w:pPr>
        <w:spacing w:after="60"/>
        <w:ind w:left="284" w:hanging="284"/>
        <w:rPr>
          <w:sz w:val="20"/>
          <w:szCs w:val="20"/>
        </w:rPr>
      </w:pPr>
      <w:r w:rsidRPr="00596CC2">
        <w:rPr>
          <w:sz w:val="20"/>
          <w:szCs w:val="20"/>
        </w:rPr>
        <w:t xml:space="preserve">Armstrong, G.W. 1999. </w:t>
      </w:r>
      <w:proofErr w:type="gramStart"/>
      <w:r w:rsidRPr="00596CC2">
        <w:rPr>
          <w:sz w:val="20"/>
          <w:szCs w:val="20"/>
        </w:rPr>
        <w:t>A stochastic characterisation of the natural disturbance regime of the boreal mixedwood forest with implications for sustainable forest management.</w:t>
      </w:r>
      <w:proofErr w:type="gramEnd"/>
      <w:r w:rsidRPr="00596CC2">
        <w:rPr>
          <w:sz w:val="20"/>
          <w:szCs w:val="20"/>
        </w:rPr>
        <w:t xml:space="preserve"> Canadian Journal of Forest Research 29: 424–433.</w:t>
      </w:r>
    </w:p>
    <w:p w:rsidR="008222D9" w:rsidRPr="00596CC2" w:rsidRDefault="008222D9" w:rsidP="00F724E7">
      <w:pPr>
        <w:spacing w:after="60"/>
        <w:ind w:left="284" w:hanging="284"/>
        <w:rPr>
          <w:sz w:val="20"/>
          <w:szCs w:val="20"/>
        </w:rPr>
      </w:pPr>
      <w:proofErr w:type="gramStart"/>
      <w:r w:rsidRPr="00596CC2">
        <w:rPr>
          <w:sz w:val="20"/>
          <w:szCs w:val="20"/>
        </w:rPr>
        <w:t>Athabasca Landscape Team.</w:t>
      </w:r>
      <w:proofErr w:type="gramEnd"/>
      <w:r w:rsidRPr="00596CC2">
        <w:rPr>
          <w:sz w:val="20"/>
          <w:szCs w:val="20"/>
        </w:rPr>
        <w:t xml:space="preserve"> 2009. Athabasca Caribou Landscape Management Options Report. Unpublished report submitted to the Alberta Caribou Committee Governance Board. Available online: http://www.albertacariboucommittee.ca/PDF/Athabasca-Caribou.pdf.</w:t>
      </w:r>
    </w:p>
    <w:p w:rsidR="008222D9" w:rsidRDefault="008222D9" w:rsidP="00F724E7">
      <w:pPr>
        <w:pStyle w:val="References"/>
        <w:widowControl w:val="0"/>
        <w:numPr>
          <w:ilvl w:val="12"/>
          <w:numId w:val="0"/>
        </w:numPr>
        <w:spacing w:after="60"/>
        <w:ind w:left="187" w:hanging="187"/>
      </w:pPr>
      <w:proofErr w:type="gramStart"/>
      <w:r>
        <w:t>Atmospheric Environment.</w:t>
      </w:r>
      <w:proofErr w:type="gramEnd"/>
      <w:r>
        <w:t xml:space="preserve"> 1981. Canadian climate normals. </w:t>
      </w:r>
      <w:proofErr w:type="gramStart"/>
      <w:r>
        <w:t>Temperature and precipitation.</w:t>
      </w:r>
      <w:proofErr w:type="gramEnd"/>
      <w:r>
        <w:t xml:space="preserve"> </w:t>
      </w:r>
      <w:proofErr w:type="gramStart"/>
      <w:r>
        <w:t>1951–1980.</w:t>
      </w:r>
      <w:proofErr w:type="gramEnd"/>
      <w:r>
        <w:t xml:space="preserve"> </w:t>
      </w:r>
      <w:proofErr w:type="gramStart"/>
      <w:r>
        <w:t>Environment Canada, Atmospheric Service, Downsview, ON.</w:t>
      </w:r>
      <w:proofErr w:type="gramEnd"/>
    </w:p>
    <w:p w:rsidR="008222D9" w:rsidRDefault="008222D9" w:rsidP="00F724E7">
      <w:pPr>
        <w:pStyle w:val="References"/>
        <w:numPr>
          <w:ilvl w:val="12"/>
          <w:numId w:val="0"/>
        </w:numPr>
        <w:spacing w:after="60"/>
        <w:ind w:left="187" w:hanging="187"/>
      </w:pPr>
      <w:proofErr w:type="gramStart"/>
      <w:r>
        <w:t>Blaustein, A.R.; Beatty, J.J.; Olson, D.H.; Storm, R.M. 1995.</w:t>
      </w:r>
      <w:proofErr w:type="gramEnd"/>
      <w:r>
        <w:t xml:space="preserve"> </w:t>
      </w:r>
      <w:proofErr w:type="gramStart"/>
      <w:r>
        <w:t>The biology of amphibians and reptiles in old-growth forests in the Pacific Northwest.</w:t>
      </w:r>
      <w:proofErr w:type="gramEnd"/>
      <w:r>
        <w:t xml:space="preserve"> </w:t>
      </w:r>
      <w:proofErr w:type="gramStart"/>
      <w:r>
        <w:t>United States Department of Agriculture, Forest Service, Pacific Northwest Research Station.</w:t>
      </w:r>
      <w:proofErr w:type="gramEnd"/>
      <w:r>
        <w:t xml:space="preserve"> </w:t>
      </w:r>
      <w:proofErr w:type="gramStart"/>
      <w:r>
        <w:t>General Technical Report PNW–GTR–337.</w:t>
      </w:r>
      <w:proofErr w:type="gramEnd"/>
    </w:p>
    <w:p w:rsidR="008222D9" w:rsidRPr="00596CC2" w:rsidRDefault="008222D9" w:rsidP="00F724E7">
      <w:pPr>
        <w:spacing w:after="60"/>
        <w:ind w:left="284" w:hanging="284"/>
        <w:rPr>
          <w:sz w:val="20"/>
          <w:szCs w:val="20"/>
        </w:rPr>
      </w:pPr>
      <w:proofErr w:type="gramStart"/>
      <w:r w:rsidRPr="00596CC2">
        <w:rPr>
          <w:sz w:val="20"/>
          <w:szCs w:val="20"/>
        </w:rPr>
        <w:t>Boutin, S. and C. Arienti.</w:t>
      </w:r>
      <w:proofErr w:type="gramEnd"/>
      <w:r w:rsidRPr="00596CC2">
        <w:rPr>
          <w:sz w:val="20"/>
          <w:szCs w:val="20"/>
        </w:rPr>
        <w:t xml:space="preserve"> 2008. Boreal Caribou Committee (BCC) equation reanalysis, Final Report – November 26, 2008. Unpublished report prepared for the Alberta Caribou Committee Research and Monitoring Subcommittee by University of Alberta Integrated Land Management Laboratory. </w:t>
      </w:r>
      <w:proofErr w:type="gramStart"/>
      <w:r w:rsidRPr="00596CC2">
        <w:rPr>
          <w:sz w:val="20"/>
          <w:szCs w:val="20"/>
        </w:rPr>
        <w:t>Edmonton, AB. 20 pp.</w:t>
      </w:r>
      <w:proofErr w:type="gramEnd"/>
    </w:p>
    <w:p w:rsidR="008222D9" w:rsidRPr="00596CC2" w:rsidRDefault="008222D9" w:rsidP="00F724E7">
      <w:pPr>
        <w:spacing w:after="60"/>
        <w:ind w:left="284" w:hanging="284"/>
        <w:rPr>
          <w:sz w:val="20"/>
          <w:szCs w:val="20"/>
        </w:rPr>
      </w:pPr>
      <w:proofErr w:type="gramStart"/>
      <w:r w:rsidRPr="00596CC2">
        <w:rPr>
          <w:sz w:val="20"/>
          <w:szCs w:val="20"/>
        </w:rPr>
        <w:t>British Columbia Ministry of Energy and Mines and National Energy Board.</w:t>
      </w:r>
      <w:proofErr w:type="gramEnd"/>
      <w:r w:rsidRPr="00596CC2">
        <w:rPr>
          <w:sz w:val="20"/>
          <w:szCs w:val="20"/>
        </w:rPr>
        <w:t xml:space="preserve"> 2011. Ultimate Potential for Unconventional Natural Gas in Northeastern British Columbia’s Horn River Bain. </w:t>
      </w:r>
      <w:proofErr w:type="gramStart"/>
      <w:r w:rsidRPr="00596CC2">
        <w:rPr>
          <w:sz w:val="20"/>
          <w:szCs w:val="20"/>
        </w:rPr>
        <w:t>Oil and Gas Reports 2011-1.</w:t>
      </w:r>
      <w:proofErr w:type="gramEnd"/>
    </w:p>
    <w:p w:rsidR="008222D9" w:rsidRDefault="008222D9" w:rsidP="00F724E7">
      <w:pPr>
        <w:pStyle w:val="References"/>
        <w:numPr>
          <w:ilvl w:val="12"/>
          <w:numId w:val="0"/>
        </w:numPr>
        <w:spacing w:after="60"/>
        <w:ind w:left="187" w:hanging="187"/>
        <w:rPr>
          <w:b/>
          <w:bCs/>
        </w:rPr>
      </w:pPr>
      <w:proofErr w:type="gramStart"/>
      <w:r>
        <w:t>Burton, P.J.; Balisky, A.C.; Coward, L.P.; Cumming, S.G.; Kneeshaw, D.D. 1992.</w:t>
      </w:r>
      <w:proofErr w:type="gramEnd"/>
      <w:r>
        <w:t xml:space="preserve"> </w:t>
      </w:r>
      <w:proofErr w:type="gramStart"/>
      <w:r>
        <w:t>The value of managing for biodiversity.</w:t>
      </w:r>
      <w:proofErr w:type="gramEnd"/>
      <w:r>
        <w:t xml:space="preserve"> The Forestry Chronicle 68 (2):225–237.</w:t>
      </w:r>
    </w:p>
    <w:p w:rsidR="008222D9" w:rsidRDefault="008222D9" w:rsidP="00F724E7">
      <w:pPr>
        <w:pStyle w:val="References"/>
        <w:numPr>
          <w:ilvl w:val="12"/>
          <w:numId w:val="0"/>
        </w:numPr>
        <w:spacing w:after="60"/>
        <w:ind w:left="187" w:hanging="187"/>
      </w:pPr>
      <w:r>
        <w:t xml:space="preserve">Butler, J. 1993. Forestry related threats to wildlife in the boreal forests. Alberta Game Warden, </w:t>
      </w:r>
      <w:proofErr w:type="gramStart"/>
      <w:r>
        <w:t>Spring</w:t>
      </w:r>
      <w:proofErr w:type="gramEnd"/>
      <w:r>
        <w:t xml:space="preserve"> 1993:29–32.</w:t>
      </w:r>
    </w:p>
    <w:p w:rsidR="008222D9" w:rsidRDefault="008222D9" w:rsidP="00F724E7">
      <w:pPr>
        <w:pStyle w:val="References"/>
        <w:numPr>
          <w:ilvl w:val="12"/>
          <w:numId w:val="0"/>
        </w:numPr>
        <w:spacing w:after="60"/>
        <w:ind w:left="187" w:hanging="187"/>
      </w:pPr>
      <w:r>
        <w:t xml:space="preserve">Butler, J. 1994. The Eco-tourism potential..... Western Canada Wilderness Committee, Alberta Branch Educational Report. Volume 13, No. 3 </w:t>
      </w:r>
      <w:proofErr w:type="gramStart"/>
      <w:r>
        <w:t>Spring</w:t>
      </w:r>
      <w:proofErr w:type="gramEnd"/>
      <w:r>
        <w:t xml:space="preserve"> 1994.</w:t>
      </w:r>
    </w:p>
    <w:p w:rsidR="008222D9" w:rsidRPr="00596CC2" w:rsidRDefault="008222D9" w:rsidP="00F724E7">
      <w:pPr>
        <w:spacing w:after="60"/>
        <w:ind w:left="284" w:hanging="284"/>
        <w:rPr>
          <w:sz w:val="20"/>
          <w:szCs w:val="20"/>
        </w:rPr>
      </w:pPr>
      <w:proofErr w:type="gramStart"/>
      <w:r w:rsidRPr="00596CC2">
        <w:rPr>
          <w:sz w:val="20"/>
          <w:szCs w:val="20"/>
        </w:rPr>
        <w:lastRenderedPageBreak/>
        <w:t>Canada Land Inventory.</w:t>
      </w:r>
      <w:proofErr w:type="gramEnd"/>
      <w:r w:rsidRPr="00596CC2">
        <w:rPr>
          <w:sz w:val="20"/>
          <w:szCs w:val="20"/>
        </w:rPr>
        <w:t xml:space="preserve"> 1976. Land Capability for Agriculture. </w:t>
      </w:r>
      <w:proofErr w:type="gramStart"/>
      <w:r w:rsidRPr="00596CC2">
        <w:rPr>
          <w:sz w:val="20"/>
          <w:szCs w:val="20"/>
        </w:rPr>
        <w:t>Environment Canada.</w:t>
      </w:r>
      <w:proofErr w:type="gramEnd"/>
    </w:p>
    <w:p w:rsidR="008222D9" w:rsidRPr="00596CC2" w:rsidRDefault="008222D9" w:rsidP="00F724E7">
      <w:pPr>
        <w:spacing w:after="60"/>
        <w:ind w:left="284" w:hanging="284"/>
        <w:rPr>
          <w:sz w:val="20"/>
          <w:szCs w:val="20"/>
        </w:rPr>
      </w:pPr>
      <w:proofErr w:type="gramStart"/>
      <w:r w:rsidRPr="00596CC2">
        <w:rPr>
          <w:sz w:val="20"/>
          <w:szCs w:val="20"/>
        </w:rPr>
        <w:t>Canadian Association of Petroleum Producers.</w:t>
      </w:r>
      <w:proofErr w:type="gramEnd"/>
      <w:r w:rsidRPr="00596CC2">
        <w:rPr>
          <w:sz w:val="20"/>
          <w:szCs w:val="20"/>
        </w:rPr>
        <w:t xml:space="preserve"> 2010. Responsible Canadian Energy Oil Sands Progress Report for the Year Ended December 31, 2009. </w:t>
      </w:r>
      <w:proofErr w:type="gramStart"/>
      <w:r w:rsidRPr="00596CC2">
        <w:rPr>
          <w:sz w:val="20"/>
          <w:szCs w:val="20"/>
        </w:rPr>
        <w:t>Canadian Association of Petroleum Producers, Calgary, AB.</w:t>
      </w:r>
      <w:proofErr w:type="gramEnd"/>
    </w:p>
    <w:p w:rsidR="008222D9" w:rsidRPr="00596CC2" w:rsidRDefault="008222D9" w:rsidP="00F724E7">
      <w:pPr>
        <w:spacing w:after="60"/>
        <w:ind w:left="284" w:hanging="284"/>
        <w:rPr>
          <w:sz w:val="20"/>
          <w:szCs w:val="20"/>
        </w:rPr>
      </w:pPr>
      <w:proofErr w:type="gramStart"/>
      <w:r w:rsidRPr="00596CC2">
        <w:rPr>
          <w:sz w:val="20"/>
          <w:szCs w:val="20"/>
        </w:rPr>
        <w:t>Canadian Association of Petroleum Producers.</w:t>
      </w:r>
      <w:proofErr w:type="gramEnd"/>
      <w:r w:rsidRPr="00596CC2">
        <w:rPr>
          <w:sz w:val="20"/>
          <w:szCs w:val="20"/>
        </w:rPr>
        <w:t xml:space="preserve"> 2011. CAPP Statistical Handbook. Available online: http://www.capp.ca/library/statistics/handbook/Pages/default.aspx#nurEHFMGTBBF. </w:t>
      </w:r>
    </w:p>
    <w:p w:rsidR="008222D9" w:rsidRPr="00596CC2" w:rsidRDefault="008222D9" w:rsidP="00F724E7">
      <w:pPr>
        <w:spacing w:after="60"/>
        <w:ind w:left="284" w:hanging="284"/>
        <w:rPr>
          <w:sz w:val="20"/>
          <w:szCs w:val="20"/>
        </w:rPr>
      </w:pPr>
      <w:proofErr w:type="gramStart"/>
      <w:r w:rsidRPr="00596CC2">
        <w:rPr>
          <w:sz w:val="20"/>
          <w:szCs w:val="20"/>
        </w:rPr>
        <w:t>Canadian Council of Forest Ministers.</w:t>
      </w:r>
      <w:proofErr w:type="gramEnd"/>
      <w:r w:rsidRPr="00596CC2">
        <w:rPr>
          <w:sz w:val="20"/>
          <w:szCs w:val="20"/>
        </w:rPr>
        <w:t xml:space="preserve">  2011. National Forestry Database.  Available online at: http://nfdp.ccfm.org/index_e.php.</w:t>
      </w:r>
    </w:p>
    <w:p w:rsidR="008222D9" w:rsidRDefault="008222D9" w:rsidP="00F724E7">
      <w:pPr>
        <w:pStyle w:val="References"/>
        <w:numPr>
          <w:ilvl w:val="12"/>
          <w:numId w:val="0"/>
        </w:numPr>
        <w:spacing w:after="60"/>
        <w:ind w:left="187" w:hanging="187"/>
      </w:pPr>
      <w:r>
        <w:t>Carey, A.B. 1989. Wildlife associated with old</w:t>
      </w:r>
      <w:r>
        <w:softHyphen/>
        <w:t>-growth forests in the Pacific Northwest. Natural Areas Journal 9:151</w:t>
      </w:r>
      <w:r>
        <w:softHyphen/>
        <w:t>–162.</w:t>
      </w:r>
    </w:p>
    <w:p w:rsidR="008222D9" w:rsidRPr="00596CC2" w:rsidRDefault="008222D9" w:rsidP="00F724E7">
      <w:pPr>
        <w:spacing w:after="60"/>
        <w:ind w:left="284" w:hanging="284"/>
        <w:rPr>
          <w:sz w:val="20"/>
          <w:szCs w:val="20"/>
        </w:rPr>
      </w:pPr>
      <w:proofErr w:type="gramStart"/>
      <w:r w:rsidRPr="00596CC2">
        <w:rPr>
          <w:sz w:val="20"/>
          <w:szCs w:val="20"/>
        </w:rPr>
        <w:t>Carlson, M., E. Bayne, and B. Stelfox.</w:t>
      </w:r>
      <w:proofErr w:type="gramEnd"/>
      <w:r w:rsidRPr="00596CC2">
        <w:rPr>
          <w:sz w:val="20"/>
          <w:szCs w:val="20"/>
        </w:rPr>
        <w:t xml:space="preserve"> 2007. Seeking a Balance: Assessing the Future Impacts of Conservation and Development in the Mackenzie Watershed. </w:t>
      </w:r>
      <w:proofErr w:type="gramStart"/>
      <w:r w:rsidRPr="00596CC2">
        <w:rPr>
          <w:sz w:val="20"/>
          <w:szCs w:val="20"/>
        </w:rPr>
        <w:t>Canadian Boreal Initiative, Ottawa, ON.</w:t>
      </w:r>
      <w:proofErr w:type="gramEnd"/>
    </w:p>
    <w:p w:rsidR="008222D9" w:rsidRPr="00596CC2" w:rsidRDefault="008222D9" w:rsidP="00F724E7">
      <w:pPr>
        <w:spacing w:after="60"/>
        <w:ind w:left="284" w:hanging="284"/>
        <w:rPr>
          <w:sz w:val="20"/>
          <w:szCs w:val="20"/>
        </w:rPr>
      </w:pPr>
      <w:r w:rsidRPr="00596CC2">
        <w:rPr>
          <w:sz w:val="20"/>
          <w:szCs w:val="20"/>
        </w:rPr>
        <w:t xml:space="preserve">Carlson, M., J. Chen, S. Elgie, C. Henschel, A. Montenegro, N. Roulet, N. Scott, C. Tarnocai, and J. Wells. 2010. Maintaining the role of Canada’s forests and peatlands in climate regulation. </w:t>
      </w:r>
      <w:proofErr w:type="gramStart"/>
      <w:r w:rsidRPr="00596CC2">
        <w:rPr>
          <w:sz w:val="20"/>
          <w:szCs w:val="20"/>
        </w:rPr>
        <w:t>Forestry Chronicle 86(4): 434–443.</w:t>
      </w:r>
      <w:proofErr w:type="gramEnd"/>
    </w:p>
    <w:p w:rsidR="008222D9" w:rsidRPr="00596CC2" w:rsidRDefault="008222D9" w:rsidP="00F724E7">
      <w:pPr>
        <w:spacing w:after="60"/>
        <w:ind w:left="284" w:hanging="284"/>
        <w:rPr>
          <w:sz w:val="20"/>
          <w:szCs w:val="20"/>
        </w:rPr>
      </w:pPr>
      <w:r w:rsidRPr="00596CC2">
        <w:rPr>
          <w:sz w:val="20"/>
          <w:szCs w:val="20"/>
        </w:rPr>
        <w:t xml:space="preserve">Centre for Topographic Information. 2004. National Hydro Network, Canada, Level 1 Product Specifications Edition 1.0. </w:t>
      </w:r>
      <w:proofErr w:type="gramStart"/>
      <w:r w:rsidRPr="00596CC2">
        <w:rPr>
          <w:sz w:val="20"/>
          <w:szCs w:val="20"/>
        </w:rPr>
        <w:t>Natural Resources Canada, Sherbrooke, Quebec.</w:t>
      </w:r>
      <w:proofErr w:type="gramEnd"/>
    </w:p>
    <w:p w:rsidR="008222D9" w:rsidRPr="00596CC2" w:rsidRDefault="008222D9" w:rsidP="00F724E7">
      <w:pPr>
        <w:spacing w:after="60"/>
        <w:ind w:left="284" w:hanging="284"/>
        <w:rPr>
          <w:sz w:val="20"/>
          <w:szCs w:val="20"/>
        </w:rPr>
      </w:pPr>
      <w:r w:rsidRPr="00596CC2">
        <w:rPr>
          <w:sz w:val="20"/>
          <w:szCs w:val="20"/>
        </w:rPr>
        <w:t xml:space="preserve">Centre for Topographic Information. </w:t>
      </w:r>
      <w:proofErr w:type="gramStart"/>
      <w:r w:rsidRPr="00596CC2">
        <w:rPr>
          <w:sz w:val="20"/>
          <w:szCs w:val="20"/>
        </w:rPr>
        <w:t>2007a. National Road Network Data Product Specifications.</w:t>
      </w:r>
      <w:proofErr w:type="gramEnd"/>
      <w:r w:rsidRPr="00596CC2">
        <w:rPr>
          <w:sz w:val="20"/>
          <w:szCs w:val="20"/>
        </w:rPr>
        <w:t xml:space="preserve"> </w:t>
      </w:r>
      <w:proofErr w:type="gramStart"/>
      <w:r w:rsidRPr="00596CC2">
        <w:rPr>
          <w:sz w:val="20"/>
          <w:szCs w:val="20"/>
        </w:rPr>
        <w:t>Edition 2.0.</w:t>
      </w:r>
      <w:proofErr w:type="gramEnd"/>
      <w:r w:rsidRPr="00596CC2">
        <w:rPr>
          <w:sz w:val="20"/>
          <w:szCs w:val="20"/>
        </w:rPr>
        <w:t xml:space="preserve"> </w:t>
      </w:r>
      <w:proofErr w:type="gramStart"/>
      <w:r w:rsidRPr="00596CC2">
        <w:rPr>
          <w:sz w:val="20"/>
          <w:szCs w:val="20"/>
        </w:rPr>
        <w:t>Natural Resources Canada, Sherbrooke, Quebec.</w:t>
      </w:r>
      <w:proofErr w:type="gramEnd"/>
      <w:r w:rsidRPr="00596CC2">
        <w:rPr>
          <w:sz w:val="20"/>
          <w:szCs w:val="20"/>
        </w:rPr>
        <w:t xml:space="preserve"> Available online: http://www.geobase.ca/geobase/en/data/nrn/description.html.</w:t>
      </w:r>
    </w:p>
    <w:p w:rsidR="008222D9" w:rsidRPr="00596CC2" w:rsidRDefault="008222D9" w:rsidP="00F724E7">
      <w:pPr>
        <w:spacing w:after="60"/>
        <w:ind w:left="284" w:hanging="284"/>
        <w:rPr>
          <w:sz w:val="20"/>
          <w:szCs w:val="20"/>
        </w:rPr>
      </w:pPr>
      <w:r w:rsidRPr="00596CC2">
        <w:rPr>
          <w:sz w:val="20"/>
          <w:szCs w:val="20"/>
        </w:rPr>
        <w:t xml:space="preserve">Centre for Topographic Information. </w:t>
      </w:r>
      <w:proofErr w:type="gramStart"/>
      <w:r w:rsidRPr="00596CC2">
        <w:rPr>
          <w:sz w:val="20"/>
          <w:szCs w:val="20"/>
        </w:rPr>
        <w:t>2007b. National Road Network Feature Catalogue.</w:t>
      </w:r>
      <w:proofErr w:type="gramEnd"/>
      <w:r w:rsidRPr="00596CC2">
        <w:rPr>
          <w:sz w:val="20"/>
          <w:szCs w:val="20"/>
        </w:rPr>
        <w:t xml:space="preserve"> </w:t>
      </w:r>
      <w:proofErr w:type="gramStart"/>
      <w:r w:rsidRPr="00596CC2">
        <w:rPr>
          <w:sz w:val="20"/>
          <w:szCs w:val="20"/>
        </w:rPr>
        <w:t>Edition 2.0.</w:t>
      </w:r>
      <w:proofErr w:type="gramEnd"/>
      <w:r w:rsidRPr="00596CC2">
        <w:rPr>
          <w:sz w:val="20"/>
          <w:szCs w:val="20"/>
        </w:rPr>
        <w:t xml:space="preserve"> </w:t>
      </w:r>
      <w:proofErr w:type="gramStart"/>
      <w:r w:rsidRPr="00596CC2">
        <w:rPr>
          <w:sz w:val="20"/>
          <w:szCs w:val="20"/>
        </w:rPr>
        <w:t>Natural Resources Canada, Sherbrooke, Quebec.</w:t>
      </w:r>
      <w:proofErr w:type="gramEnd"/>
      <w:r w:rsidRPr="00596CC2">
        <w:rPr>
          <w:sz w:val="20"/>
          <w:szCs w:val="20"/>
        </w:rPr>
        <w:t xml:space="preserve"> Available online: http://www.geobase.ca/geobase/en/data/nrn/description.html.</w:t>
      </w:r>
    </w:p>
    <w:p w:rsidR="008222D9" w:rsidRPr="00596CC2" w:rsidRDefault="008222D9" w:rsidP="00F724E7">
      <w:pPr>
        <w:spacing w:after="60"/>
        <w:ind w:left="284" w:hanging="284"/>
        <w:rPr>
          <w:sz w:val="20"/>
          <w:szCs w:val="20"/>
        </w:rPr>
      </w:pPr>
      <w:r w:rsidRPr="00596CC2">
        <w:rPr>
          <w:sz w:val="20"/>
          <w:szCs w:val="20"/>
        </w:rPr>
        <w:t xml:space="preserve">Centre for Topographic Information. </w:t>
      </w:r>
      <w:proofErr w:type="gramStart"/>
      <w:r w:rsidRPr="00596CC2">
        <w:rPr>
          <w:sz w:val="20"/>
          <w:szCs w:val="20"/>
        </w:rPr>
        <w:t>2009a. Land Cover, circa 2000-Vector Data Product Specifications.</w:t>
      </w:r>
      <w:proofErr w:type="gramEnd"/>
      <w:r w:rsidRPr="00596CC2">
        <w:rPr>
          <w:sz w:val="20"/>
          <w:szCs w:val="20"/>
        </w:rPr>
        <w:t xml:space="preserve"> </w:t>
      </w:r>
      <w:proofErr w:type="gramStart"/>
      <w:r w:rsidRPr="00596CC2">
        <w:rPr>
          <w:sz w:val="20"/>
          <w:szCs w:val="20"/>
        </w:rPr>
        <w:t>Natural Resources Canada, Sherbrooke, Quebec.</w:t>
      </w:r>
      <w:proofErr w:type="gramEnd"/>
      <w:r w:rsidRPr="00596CC2">
        <w:rPr>
          <w:sz w:val="20"/>
          <w:szCs w:val="20"/>
        </w:rPr>
        <w:t xml:space="preserve"> </w:t>
      </w:r>
    </w:p>
    <w:p w:rsidR="008222D9" w:rsidRPr="00596CC2" w:rsidRDefault="008222D9" w:rsidP="00F724E7">
      <w:pPr>
        <w:spacing w:after="60"/>
        <w:ind w:left="284" w:hanging="284"/>
        <w:rPr>
          <w:sz w:val="20"/>
          <w:szCs w:val="20"/>
        </w:rPr>
      </w:pPr>
      <w:r w:rsidRPr="00596CC2">
        <w:rPr>
          <w:sz w:val="20"/>
          <w:szCs w:val="20"/>
        </w:rPr>
        <w:t xml:space="preserve">Centre for Topographic Information. </w:t>
      </w:r>
      <w:proofErr w:type="gramStart"/>
      <w:r w:rsidRPr="00596CC2">
        <w:rPr>
          <w:sz w:val="20"/>
          <w:szCs w:val="20"/>
        </w:rPr>
        <w:t>2009b. Land Cover, circa 2000-Vector Feature Catalogue.</w:t>
      </w:r>
      <w:proofErr w:type="gramEnd"/>
      <w:r w:rsidRPr="00596CC2">
        <w:rPr>
          <w:sz w:val="20"/>
          <w:szCs w:val="20"/>
        </w:rPr>
        <w:t xml:space="preserve"> </w:t>
      </w:r>
      <w:proofErr w:type="gramStart"/>
      <w:r w:rsidRPr="00596CC2">
        <w:rPr>
          <w:sz w:val="20"/>
          <w:szCs w:val="20"/>
        </w:rPr>
        <w:t>Natural Resources Canada, Sherbrooke, Quebec.</w:t>
      </w:r>
      <w:proofErr w:type="gramEnd"/>
      <w:r w:rsidRPr="00596CC2">
        <w:rPr>
          <w:sz w:val="20"/>
          <w:szCs w:val="20"/>
        </w:rPr>
        <w:t xml:space="preserve"> </w:t>
      </w:r>
    </w:p>
    <w:p w:rsidR="008222D9" w:rsidRPr="00596CC2" w:rsidRDefault="008222D9" w:rsidP="00F724E7">
      <w:pPr>
        <w:spacing w:after="60"/>
        <w:ind w:left="284" w:hanging="284"/>
        <w:rPr>
          <w:sz w:val="20"/>
          <w:szCs w:val="20"/>
        </w:rPr>
      </w:pPr>
      <w:r w:rsidRPr="00596CC2">
        <w:rPr>
          <w:sz w:val="20"/>
          <w:szCs w:val="20"/>
        </w:rPr>
        <w:t xml:space="preserve">Centre for Topographic Information. </w:t>
      </w:r>
      <w:proofErr w:type="gramStart"/>
      <w:r w:rsidRPr="00596CC2">
        <w:rPr>
          <w:sz w:val="20"/>
          <w:szCs w:val="20"/>
        </w:rPr>
        <w:t>2010a. CanVec Data Product Specifications Edition 1.1.</w:t>
      </w:r>
      <w:proofErr w:type="gramEnd"/>
      <w:r w:rsidRPr="00596CC2">
        <w:rPr>
          <w:sz w:val="20"/>
          <w:szCs w:val="20"/>
        </w:rPr>
        <w:t xml:space="preserve"> </w:t>
      </w:r>
      <w:proofErr w:type="gramStart"/>
      <w:r w:rsidRPr="00596CC2">
        <w:rPr>
          <w:sz w:val="20"/>
          <w:szCs w:val="20"/>
        </w:rPr>
        <w:t>Natural Resources Canada, Sherbrooke, Quebec.</w:t>
      </w:r>
      <w:proofErr w:type="gramEnd"/>
    </w:p>
    <w:p w:rsidR="008222D9" w:rsidRPr="00596CC2" w:rsidRDefault="008222D9" w:rsidP="00F724E7">
      <w:pPr>
        <w:spacing w:after="60"/>
        <w:ind w:left="284" w:hanging="284"/>
        <w:rPr>
          <w:sz w:val="20"/>
          <w:szCs w:val="20"/>
        </w:rPr>
      </w:pPr>
      <w:r w:rsidRPr="00596CC2">
        <w:rPr>
          <w:sz w:val="20"/>
          <w:szCs w:val="20"/>
        </w:rPr>
        <w:t xml:space="preserve">Centre for Topographic Information. </w:t>
      </w:r>
      <w:proofErr w:type="gramStart"/>
      <w:r w:rsidRPr="00596CC2">
        <w:rPr>
          <w:sz w:val="20"/>
          <w:szCs w:val="20"/>
        </w:rPr>
        <w:t>2010b. CanVec Feature catalogue 1.1.0.</w:t>
      </w:r>
      <w:proofErr w:type="gramEnd"/>
      <w:r w:rsidRPr="00596CC2">
        <w:rPr>
          <w:sz w:val="20"/>
          <w:szCs w:val="20"/>
        </w:rPr>
        <w:t xml:space="preserve"> </w:t>
      </w:r>
      <w:proofErr w:type="gramStart"/>
      <w:r w:rsidRPr="00596CC2">
        <w:rPr>
          <w:sz w:val="20"/>
          <w:szCs w:val="20"/>
        </w:rPr>
        <w:t>Natural Resources Canada, Sherbrooke, Quebec.</w:t>
      </w:r>
      <w:proofErr w:type="gramEnd"/>
    </w:p>
    <w:p w:rsidR="008222D9" w:rsidRPr="00596CC2" w:rsidRDefault="008222D9" w:rsidP="00F724E7">
      <w:pPr>
        <w:spacing w:after="60"/>
        <w:ind w:left="284" w:hanging="284"/>
        <w:rPr>
          <w:sz w:val="20"/>
          <w:szCs w:val="20"/>
        </w:rPr>
      </w:pPr>
      <w:r w:rsidRPr="00596CC2">
        <w:rPr>
          <w:sz w:val="20"/>
          <w:szCs w:val="20"/>
        </w:rPr>
        <w:t>Chen, J. M., W. Ju, J. Cihlar, D. Price, J. Liu, W. Chen, J. Pan, T. A. Black, and A. Barr. 2003. Spatial distribution of carbon sources and sinks in Canada’s forests. Tellus B 55(2): 622-642.</w:t>
      </w:r>
    </w:p>
    <w:p w:rsidR="008222D9" w:rsidRPr="00596CC2" w:rsidRDefault="008222D9" w:rsidP="00F724E7">
      <w:pPr>
        <w:spacing w:after="60"/>
        <w:ind w:left="284" w:hanging="284"/>
        <w:rPr>
          <w:sz w:val="20"/>
          <w:szCs w:val="20"/>
        </w:rPr>
      </w:pPr>
      <w:proofErr w:type="gramStart"/>
      <w:r w:rsidRPr="00596CC2">
        <w:rPr>
          <w:sz w:val="20"/>
          <w:szCs w:val="20"/>
        </w:rPr>
        <w:t>Cleary, J., N. T. Roulet, T. R. Moore.</w:t>
      </w:r>
      <w:proofErr w:type="gramEnd"/>
      <w:r w:rsidRPr="00596CC2">
        <w:rPr>
          <w:sz w:val="20"/>
          <w:szCs w:val="20"/>
        </w:rPr>
        <w:t xml:space="preserve"> 2005. Greenhouse gas emissions from Canadian peat extraction, 1990-2000: a life-cycle analysis. Ambio 34(6): 456-461.</w:t>
      </w:r>
    </w:p>
    <w:p w:rsidR="008222D9" w:rsidRPr="00596CC2" w:rsidRDefault="008222D9" w:rsidP="00F724E7">
      <w:pPr>
        <w:spacing w:after="60"/>
        <w:ind w:left="284" w:hanging="284"/>
        <w:rPr>
          <w:sz w:val="20"/>
          <w:szCs w:val="20"/>
        </w:rPr>
      </w:pPr>
      <w:proofErr w:type="gramStart"/>
      <w:r w:rsidRPr="00596CC2">
        <w:rPr>
          <w:sz w:val="20"/>
          <w:szCs w:val="20"/>
        </w:rPr>
        <w:t>Collyer, D. 2010.</w:t>
      </w:r>
      <w:proofErr w:type="gramEnd"/>
      <w:r w:rsidRPr="00596CC2">
        <w:rPr>
          <w:sz w:val="20"/>
          <w:szCs w:val="20"/>
        </w:rPr>
        <w:t xml:space="preserve"> </w:t>
      </w:r>
      <w:proofErr w:type="gramStart"/>
      <w:r w:rsidRPr="00596CC2">
        <w:rPr>
          <w:sz w:val="20"/>
          <w:szCs w:val="20"/>
        </w:rPr>
        <w:t>BC’s Energy Future Climate Policy and Energy Policy – Where do they meet?</w:t>
      </w:r>
      <w:proofErr w:type="gramEnd"/>
      <w:r w:rsidRPr="00596CC2">
        <w:rPr>
          <w:sz w:val="20"/>
          <w:szCs w:val="20"/>
        </w:rPr>
        <w:t xml:space="preserve"> </w:t>
      </w:r>
      <w:proofErr w:type="gramStart"/>
      <w:r w:rsidRPr="00596CC2">
        <w:rPr>
          <w:sz w:val="20"/>
          <w:szCs w:val="20"/>
        </w:rPr>
        <w:t>Presentation to the BCBC &amp; BC Chamber of Commerce BC Energy Conference.</w:t>
      </w:r>
      <w:proofErr w:type="gramEnd"/>
      <w:r w:rsidRPr="00596CC2">
        <w:rPr>
          <w:sz w:val="20"/>
          <w:szCs w:val="20"/>
        </w:rPr>
        <w:t xml:space="preserve"> October 27, 2010. Vancouver, BC.  Available online: http://www.capp.ca/getdoc.aspx?dt=PDF&amp;docID=180185.</w:t>
      </w:r>
    </w:p>
    <w:p w:rsidR="008222D9" w:rsidRPr="00596CC2" w:rsidRDefault="008222D9" w:rsidP="00F724E7">
      <w:pPr>
        <w:spacing w:after="60"/>
        <w:ind w:left="284" w:hanging="284"/>
        <w:rPr>
          <w:sz w:val="20"/>
          <w:szCs w:val="20"/>
        </w:rPr>
      </w:pPr>
      <w:r w:rsidRPr="00596CC2">
        <w:rPr>
          <w:sz w:val="20"/>
          <w:szCs w:val="20"/>
        </w:rPr>
        <w:t xml:space="preserve">Cumming, S. G. 2005. </w:t>
      </w:r>
      <w:proofErr w:type="gramStart"/>
      <w:r w:rsidRPr="00596CC2">
        <w:rPr>
          <w:sz w:val="20"/>
          <w:szCs w:val="20"/>
        </w:rPr>
        <w:t>Effective fire suppression in boreal forests.</w:t>
      </w:r>
      <w:proofErr w:type="gramEnd"/>
      <w:r w:rsidRPr="00596CC2">
        <w:rPr>
          <w:sz w:val="20"/>
          <w:szCs w:val="20"/>
        </w:rPr>
        <w:t xml:space="preserve"> Canadian Journal of Forest Research 35: 772-786.</w:t>
      </w:r>
    </w:p>
    <w:p w:rsidR="008222D9" w:rsidRPr="00596CC2" w:rsidRDefault="008222D9" w:rsidP="00F724E7">
      <w:pPr>
        <w:spacing w:after="60"/>
        <w:ind w:left="284" w:hanging="284"/>
        <w:rPr>
          <w:sz w:val="20"/>
          <w:szCs w:val="20"/>
        </w:rPr>
      </w:pPr>
      <w:r w:rsidRPr="00596CC2">
        <w:rPr>
          <w:sz w:val="20"/>
          <w:szCs w:val="20"/>
        </w:rPr>
        <w:t>Cumming, S.G. 2001. Forest type and wildfire in the Alberta boreal mixedwood: what do fires burns? Ecological Applications 11(1):97-110.</w:t>
      </w:r>
    </w:p>
    <w:p w:rsidR="008222D9" w:rsidRPr="00596CC2" w:rsidRDefault="008222D9" w:rsidP="00F724E7">
      <w:pPr>
        <w:spacing w:after="60"/>
        <w:ind w:left="284" w:hanging="284"/>
        <w:rPr>
          <w:sz w:val="20"/>
          <w:szCs w:val="20"/>
        </w:rPr>
      </w:pPr>
      <w:r w:rsidRPr="00596CC2">
        <w:rPr>
          <w:sz w:val="20"/>
          <w:szCs w:val="20"/>
        </w:rPr>
        <w:t xml:space="preserve">Dehcho </w:t>
      </w:r>
      <w:r>
        <w:rPr>
          <w:sz w:val="20"/>
          <w:szCs w:val="20"/>
        </w:rPr>
        <w:t>Land-use</w:t>
      </w:r>
      <w:r w:rsidRPr="00596CC2">
        <w:rPr>
          <w:sz w:val="20"/>
          <w:szCs w:val="20"/>
        </w:rPr>
        <w:t xml:space="preserve"> Planning Committee. 2006. Respect for the Land: The Dehcho </w:t>
      </w:r>
      <w:r>
        <w:rPr>
          <w:sz w:val="20"/>
          <w:szCs w:val="20"/>
        </w:rPr>
        <w:t>Land-use</w:t>
      </w:r>
      <w:r w:rsidRPr="00596CC2">
        <w:rPr>
          <w:sz w:val="20"/>
          <w:szCs w:val="20"/>
        </w:rPr>
        <w:t xml:space="preserve"> Plan Background Report.</w:t>
      </w:r>
    </w:p>
    <w:p w:rsidR="008222D9" w:rsidRDefault="008222D9" w:rsidP="00F724E7">
      <w:pPr>
        <w:pStyle w:val="References"/>
        <w:widowControl w:val="0"/>
        <w:numPr>
          <w:ilvl w:val="12"/>
          <w:numId w:val="0"/>
        </w:numPr>
        <w:spacing w:after="60"/>
        <w:ind w:left="187" w:hanging="187"/>
      </w:pPr>
      <w:r>
        <w:t xml:space="preserve">Delisle, G.P.; Hall, R.J. 1987. Forest fire history maps of Alberta, 1931–1983. </w:t>
      </w:r>
      <w:proofErr w:type="gramStart"/>
      <w:r>
        <w:t>Technical report, Forestry Canada, Northern Forestry Centre, Edmonton, AB.</w:t>
      </w:r>
      <w:proofErr w:type="gramEnd"/>
    </w:p>
    <w:p w:rsidR="008222D9" w:rsidRDefault="008222D9" w:rsidP="00F724E7">
      <w:pPr>
        <w:pStyle w:val="References"/>
        <w:numPr>
          <w:ilvl w:val="12"/>
          <w:numId w:val="0"/>
        </w:numPr>
        <w:spacing w:after="60"/>
        <w:ind w:left="187" w:hanging="187"/>
      </w:pPr>
      <w:r>
        <w:t xml:space="preserve">DeLong, C. 1988. A field guide for identification and interpretation of seral aspen ecosystems of the BWBSC1, Prince George Forest Region. </w:t>
      </w:r>
      <w:proofErr w:type="gramStart"/>
      <w:r>
        <w:t>B.C. Ministry of Forests Research Branch.</w:t>
      </w:r>
      <w:proofErr w:type="gramEnd"/>
      <w:r>
        <w:t xml:space="preserve"> Victoria, B.C. Land Management Handbook 16.</w:t>
      </w:r>
    </w:p>
    <w:p w:rsidR="008222D9" w:rsidRDefault="008222D9" w:rsidP="00F724E7">
      <w:pPr>
        <w:pStyle w:val="References"/>
        <w:numPr>
          <w:ilvl w:val="12"/>
          <w:numId w:val="0"/>
        </w:numPr>
        <w:spacing w:after="60"/>
        <w:ind w:left="187" w:hanging="187"/>
      </w:pPr>
      <w:r>
        <w:lastRenderedPageBreak/>
        <w:t xml:space="preserve">Dempsey, H.A.I. 1974. </w:t>
      </w:r>
      <w:proofErr w:type="gramStart"/>
      <w:r>
        <w:t>People of the boreal forest Chipewyan and Cree.</w:t>
      </w:r>
      <w:proofErr w:type="gramEnd"/>
      <w:r>
        <w:t xml:space="preserve"> pp. 33–44. </w:t>
      </w:r>
      <w:proofErr w:type="gramStart"/>
      <w:r>
        <w:t>In.</w:t>
      </w:r>
      <w:proofErr w:type="gramEnd"/>
      <w:r>
        <w:t xml:space="preserve"> </w:t>
      </w:r>
      <w:proofErr w:type="gramStart"/>
      <w:r>
        <w:t>The land of Peter Pond.</w:t>
      </w:r>
      <w:proofErr w:type="gramEnd"/>
      <w:r>
        <w:t xml:space="preserve"> Chalmers, J.W. (editor). </w:t>
      </w:r>
      <w:proofErr w:type="gramStart"/>
      <w:r>
        <w:t>Boreal Institute for Northern Studies Occasional Publication No. 12, University of Alberta, Edmonton, AB.</w:t>
      </w:r>
      <w:proofErr w:type="gramEnd"/>
    </w:p>
    <w:p w:rsidR="008222D9" w:rsidRDefault="008222D9" w:rsidP="00F724E7">
      <w:pPr>
        <w:pStyle w:val="References"/>
        <w:numPr>
          <w:ilvl w:val="12"/>
          <w:numId w:val="0"/>
        </w:numPr>
        <w:spacing w:after="60"/>
        <w:ind w:left="187" w:hanging="187"/>
      </w:pPr>
      <w:proofErr w:type="gramStart"/>
      <w:r>
        <w:t>Dix, R.L.; Swan, J.M.A. 1971.</w:t>
      </w:r>
      <w:proofErr w:type="gramEnd"/>
      <w:r>
        <w:t xml:space="preserve"> </w:t>
      </w:r>
      <w:proofErr w:type="gramStart"/>
      <w:r>
        <w:t>The roles of disturbance and succession in upland forest at Candle Lake, Saskatchewan.</w:t>
      </w:r>
      <w:proofErr w:type="gramEnd"/>
      <w:r>
        <w:t xml:space="preserve"> Canadian Journal of Botany 49:657–676.</w:t>
      </w:r>
    </w:p>
    <w:p w:rsidR="008222D9" w:rsidRPr="00B24855" w:rsidRDefault="008222D9" w:rsidP="00F724E7">
      <w:pPr>
        <w:pStyle w:val="BodyText"/>
        <w:spacing w:after="60"/>
        <w:ind w:left="198" w:hanging="198"/>
        <w:rPr>
          <w:sz w:val="20"/>
        </w:rPr>
      </w:pPr>
      <w:proofErr w:type="gramStart"/>
      <w:r w:rsidRPr="00B24855">
        <w:rPr>
          <w:sz w:val="20"/>
        </w:rPr>
        <w:t>Duinker, P.N. and L.A. Greig.</w:t>
      </w:r>
      <w:proofErr w:type="gramEnd"/>
      <w:r w:rsidRPr="00B24855">
        <w:rPr>
          <w:sz w:val="20"/>
        </w:rPr>
        <w:t xml:space="preserve"> 2007. Scenario analysis in environmental impact assessment: Improving explorations of the future. </w:t>
      </w:r>
      <w:proofErr w:type="gramStart"/>
      <w:r w:rsidRPr="00B24855">
        <w:rPr>
          <w:sz w:val="20"/>
        </w:rPr>
        <w:t>Environmental Impact Assessment Review.</w:t>
      </w:r>
      <w:proofErr w:type="gramEnd"/>
      <w:r w:rsidRPr="00B24855">
        <w:rPr>
          <w:sz w:val="20"/>
        </w:rPr>
        <w:t xml:space="preserve"> 27: 206-219.</w:t>
      </w:r>
    </w:p>
    <w:p w:rsidR="008222D9" w:rsidRPr="00596CC2" w:rsidRDefault="008222D9" w:rsidP="00F724E7">
      <w:pPr>
        <w:spacing w:after="60"/>
        <w:ind w:left="284" w:hanging="284"/>
        <w:rPr>
          <w:sz w:val="20"/>
          <w:szCs w:val="20"/>
        </w:rPr>
      </w:pPr>
      <w:proofErr w:type="gramStart"/>
      <w:r w:rsidRPr="00596CC2">
        <w:rPr>
          <w:sz w:val="20"/>
          <w:szCs w:val="20"/>
        </w:rPr>
        <w:t>Ecological Stratification Working Group.</w:t>
      </w:r>
      <w:proofErr w:type="gramEnd"/>
      <w:r w:rsidRPr="00596CC2">
        <w:rPr>
          <w:sz w:val="20"/>
          <w:szCs w:val="20"/>
        </w:rPr>
        <w:t xml:space="preserve"> 1995. A National Ecological Framework for Canada. </w:t>
      </w:r>
      <w:proofErr w:type="gramStart"/>
      <w:r w:rsidRPr="00596CC2">
        <w:rPr>
          <w:sz w:val="20"/>
          <w:szCs w:val="20"/>
        </w:rPr>
        <w:t>Agriculture and Agri-Food Canada, Research Branch, Centre for Land and Biological Resources Research and Environment Canada, State of the Environment Directorate, Ecozone Analysis Branch, Ottawa/Hull.</w:t>
      </w:r>
      <w:proofErr w:type="gramEnd"/>
    </w:p>
    <w:p w:rsidR="008222D9" w:rsidRPr="00596CC2" w:rsidRDefault="008222D9" w:rsidP="00F724E7">
      <w:pPr>
        <w:spacing w:after="60"/>
        <w:ind w:left="284" w:hanging="284"/>
        <w:rPr>
          <w:sz w:val="20"/>
          <w:szCs w:val="20"/>
        </w:rPr>
      </w:pPr>
      <w:r w:rsidRPr="00596CC2">
        <w:rPr>
          <w:sz w:val="20"/>
          <w:szCs w:val="20"/>
        </w:rPr>
        <w:t xml:space="preserve">Energy Resources Conservation Board (ERCB). 2010. Alberta’s Energy Reserves 2009 and Supply/Demand Outlook 2010-2019. </w:t>
      </w:r>
      <w:proofErr w:type="gramStart"/>
      <w:r w:rsidRPr="00596CC2">
        <w:rPr>
          <w:sz w:val="20"/>
          <w:szCs w:val="20"/>
        </w:rPr>
        <w:t>ST98-2010.</w:t>
      </w:r>
      <w:proofErr w:type="gramEnd"/>
      <w:r w:rsidRPr="00596CC2">
        <w:rPr>
          <w:sz w:val="20"/>
          <w:szCs w:val="20"/>
        </w:rPr>
        <w:t xml:space="preserve"> </w:t>
      </w:r>
      <w:proofErr w:type="gramStart"/>
      <w:r w:rsidRPr="00596CC2">
        <w:rPr>
          <w:sz w:val="20"/>
          <w:szCs w:val="20"/>
        </w:rPr>
        <w:t>Energy Resources Conservation Board, Calgary, AB.</w:t>
      </w:r>
      <w:proofErr w:type="gramEnd"/>
    </w:p>
    <w:p w:rsidR="008222D9" w:rsidRPr="00596CC2" w:rsidRDefault="008222D9" w:rsidP="00F724E7">
      <w:pPr>
        <w:spacing w:after="60"/>
        <w:ind w:left="284" w:hanging="284"/>
        <w:rPr>
          <w:sz w:val="20"/>
          <w:szCs w:val="20"/>
        </w:rPr>
      </w:pPr>
      <w:proofErr w:type="gramStart"/>
      <w:r w:rsidRPr="00596CC2">
        <w:rPr>
          <w:sz w:val="20"/>
          <w:szCs w:val="20"/>
        </w:rPr>
        <w:t>Environment Canada.</w:t>
      </w:r>
      <w:proofErr w:type="gramEnd"/>
      <w:r w:rsidRPr="00596CC2">
        <w:rPr>
          <w:sz w:val="20"/>
          <w:szCs w:val="20"/>
        </w:rPr>
        <w:t xml:space="preserve"> 2010. National Inventory Report 1990-2008: Greenhouse Gas Sources and Sinks in Canada.</w:t>
      </w:r>
    </w:p>
    <w:p w:rsidR="008222D9" w:rsidRDefault="008222D9" w:rsidP="00F724E7">
      <w:pPr>
        <w:pStyle w:val="References"/>
        <w:numPr>
          <w:ilvl w:val="12"/>
          <w:numId w:val="0"/>
        </w:numPr>
        <w:spacing w:after="60"/>
        <w:ind w:left="187" w:hanging="187"/>
      </w:pPr>
      <w:proofErr w:type="gramStart"/>
      <w:r>
        <w:t>Flack, J.A. 1976.</w:t>
      </w:r>
      <w:proofErr w:type="gramEnd"/>
      <w:r>
        <w:t xml:space="preserve"> </w:t>
      </w:r>
      <w:proofErr w:type="gramStart"/>
      <w:r>
        <w:t>Bird populations of aspen forests in western North America.</w:t>
      </w:r>
      <w:proofErr w:type="gramEnd"/>
      <w:r>
        <w:t xml:space="preserve"> Ornithological Monographs No. 19. </w:t>
      </w:r>
    </w:p>
    <w:p w:rsidR="008222D9" w:rsidRPr="00B24855" w:rsidRDefault="008222D9" w:rsidP="00F724E7">
      <w:pPr>
        <w:pStyle w:val="Citation"/>
        <w:spacing w:after="60"/>
        <w:ind w:left="198" w:hanging="198"/>
        <w:rPr>
          <w:sz w:val="20"/>
        </w:rPr>
      </w:pPr>
      <w:proofErr w:type="gramStart"/>
      <w:r w:rsidRPr="00B24855">
        <w:rPr>
          <w:sz w:val="20"/>
        </w:rPr>
        <w:t>Flannigan M.D., K.A. Logan, and B.D. Amiro.</w:t>
      </w:r>
      <w:proofErr w:type="gramEnd"/>
      <w:r w:rsidRPr="00B24855">
        <w:rPr>
          <w:sz w:val="20"/>
        </w:rPr>
        <w:t xml:space="preserve"> 2005. Future area burned in Canada. Climatic Change (72): 1-16.</w:t>
      </w:r>
    </w:p>
    <w:p w:rsidR="008222D9" w:rsidRDefault="008222D9" w:rsidP="00F724E7">
      <w:pPr>
        <w:pStyle w:val="References"/>
        <w:numPr>
          <w:ilvl w:val="12"/>
          <w:numId w:val="0"/>
        </w:numPr>
        <w:spacing w:after="60"/>
        <w:ind w:left="187" w:hanging="187"/>
      </w:pPr>
      <w:r>
        <w:t>Forrest, R.D. 1993. AL-PAC; A new stand for big. Papermaker, July</w:t>
      </w:r>
      <w:proofErr w:type="gramStart"/>
      <w:r>
        <w:t>:18</w:t>
      </w:r>
      <w:proofErr w:type="gramEnd"/>
      <w:r>
        <w:t>–25.</w:t>
      </w:r>
    </w:p>
    <w:p w:rsidR="008222D9" w:rsidRPr="00596CC2" w:rsidRDefault="008222D9" w:rsidP="00F724E7">
      <w:pPr>
        <w:spacing w:after="60"/>
        <w:ind w:left="284" w:hanging="284"/>
        <w:rPr>
          <w:sz w:val="20"/>
          <w:szCs w:val="20"/>
        </w:rPr>
      </w:pPr>
      <w:proofErr w:type="gramStart"/>
      <w:r w:rsidRPr="00596CC2">
        <w:rPr>
          <w:sz w:val="20"/>
          <w:szCs w:val="20"/>
        </w:rPr>
        <w:t>Gerdes, K. J., and T. J. Skone.</w:t>
      </w:r>
      <w:proofErr w:type="gramEnd"/>
      <w:r w:rsidRPr="00596CC2">
        <w:rPr>
          <w:sz w:val="20"/>
          <w:szCs w:val="20"/>
        </w:rPr>
        <w:t xml:space="preserve"> 2009. An Evaluation of the Extraction, Transport and Refining of Imported Crude Oils and the Impact on Life Cycle Greenhouse Gas Emissions. </w:t>
      </w:r>
      <w:proofErr w:type="gramStart"/>
      <w:r w:rsidRPr="00596CC2">
        <w:rPr>
          <w:sz w:val="20"/>
          <w:szCs w:val="20"/>
        </w:rPr>
        <w:t>National Energy Technology Laboratory.</w:t>
      </w:r>
      <w:proofErr w:type="gramEnd"/>
    </w:p>
    <w:p w:rsidR="008222D9" w:rsidRPr="00596CC2" w:rsidRDefault="008222D9" w:rsidP="00F724E7">
      <w:pPr>
        <w:spacing w:after="60"/>
        <w:ind w:left="284" w:hanging="284"/>
        <w:rPr>
          <w:sz w:val="20"/>
          <w:szCs w:val="20"/>
        </w:rPr>
      </w:pPr>
      <w:r w:rsidRPr="00596CC2">
        <w:rPr>
          <w:sz w:val="20"/>
          <w:szCs w:val="20"/>
        </w:rPr>
        <w:t xml:space="preserve">Gosseline, P., S.E. Hrudey, M.A. Naeth, A. Plourde, R. Therrien, G. Van Der Kraak, and Z. Xu. 2010. Environmental and Health Impacts of Canada’s Oil Sands Industry. </w:t>
      </w:r>
      <w:proofErr w:type="gramStart"/>
      <w:r w:rsidRPr="00596CC2">
        <w:rPr>
          <w:sz w:val="20"/>
          <w:szCs w:val="20"/>
        </w:rPr>
        <w:t>The Royal Society of Canada, Ottawa, ON.</w:t>
      </w:r>
      <w:proofErr w:type="gramEnd"/>
    </w:p>
    <w:p w:rsidR="008222D9" w:rsidRPr="00596CC2" w:rsidRDefault="008222D9" w:rsidP="00F724E7">
      <w:pPr>
        <w:spacing w:after="60"/>
        <w:ind w:left="284" w:hanging="284"/>
        <w:rPr>
          <w:sz w:val="20"/>
          <w:szCs w:val="20"/>
        </w:rPr>
      </w:pPr>
      <w:proofErr w:type="gramStart"/>
      <w:r w:rsidRPr="00596CC2">
        <w:rPr>
          <w:sz w:val="20"/>
          <w:szCs w:val="20"/>
        </w:rPr>
        <w:t>Griffiths, M., and S. Dyer.</w:t>
      </w:r>
      <w:proofErr w:type="gramEnd"/>
      <w:r w:rsidRPr="00596CC2">
        <w:rPr>
          <w:sz w:val="20"/>
          <w:szCs w:val="20"/>
        </w:rPr>
        <w:t xml:space="preserve"> 2008. Upgrader Alley: Oil Sands Fever Strikes Edmonton. </w:t>
      </w:r>
      <w:proofErr w:type="gramStart"/>
      <w:r w:rsidRPr="00596CC2">
        <w:rPr>
          <w:sz w:val="20"/>
          <w:szCs w:val="20"/>
        </w:rPr>
        <w:t>The Pembina Institute, Drayton Valley, AB.</w:t>
      </w:r>
      <w:proofErr w:type="gramEnd"/>
    </w:p>
    <w:p w:rsidR="008222D9" w:rsidRDefault="008222D9" w:rsidP="00F724E7">
      <w:pPr>
        <w:pStyle w:val="References"/>
        <w:numPr>
          <w:ilvl w:val="12"/>
          <w:numId w:val="0"/>
        </w:numPr>
        <w:spacing w:after="60"/>
        <w:ind w:left="187" w:hanging="187"/>
      </w:pPr>
      <w:r>
        <w:t xml:space="preserve">Hammond, H.E.J. 1995. The arthropod diversity of </w:t>
      </w:r>
      <w:r>
        <w:rPr>
          <w:i/>
          <w:iCs/>
        </w:rPr>
        <w:t>Populus</w:t>
      </w:r>
      <w:r>
        <w:t xml:space="preserve"> spp. coarse woody material in aspen mixedwood forests of north-central Alberta: a progress report for Alberta Environmental Research Trust. Edmonton, AB.</w:t>
      </w:r>
    </w:p>
    <w:p w:rsidR="008222D9" w:rsidRDefault="008222D9" w:rsidP="00F724E7">
      <w:pPr>
        <w:pStyle w:val="References"/>
        <w:numPr>
          <w:ilvl w:val="12"/>
          <w:numId w:val="0"/>
        </w:numPr>
        <w:spacing w:after="60"/>
        <w:ind w:left="187" w:hanging="187"/>
      </w:pPr>
      <w:proofErr w:type="gramStart"/>
      <w:r>
        <w:t>Hansen, A.J.; Spies, T A.; Swanson, F.J.; Ohmann, J.L. 1991.</w:t>
      </w:r>
      <w:proofErr w:type="gramEnd"/>
      <w:r>
        <w:t xml:space="preserve"> Conserving biodiversity in managed forests. BioScience 41:382–392.</w:t>
      </w:r>
    </w:p>
    <w:p w:rsidR="008222D9" w:rsidRDefault="008222D9" w:rsidP="00F724E7">
      <w:pPr>
        <w:pStyle w:val="References"/>
        <w:numPr>
          <w:ilvl w:val="12"/>
          <w:numId w:val="0"/>
        </w:numPr>
        <w:spacing w:after="60"/>
        <w:ind w:left="187" w:hanging="187"/>
      </w:pPr>
      <w:r>
        <w:t>Hawksworth, D.L. 1991. The fungal dimension of biodiversity: magnitude, significance and conservation. Mycological Research 95:641</w:t>
      </w:r>
      <w:r>
        <w:softHyphen/>
        <w:t>–655.</w:t>
      </w:r>
    </w:p>
    <w:p w:rsidR="008222D9" w:rsidRPr="00596CC2" w:rsidRDefault="008222D9" w:rsidP="00F724E7">
      <w:pPr>
        <w:spacing w:after="60"/>
        <w:ind w:left="284" w:hanging="284"/>
        <w:rPr>
          <w:sz w:val="20"/>
          <w:szCs w:val="20"/>
        </w:rPr>
      </w:pPr>
      <w:proofErr w:type="gramStart"/>
      <w:r w:rsidRPr="00596CC2">
        <w:rPr>
          <w:sz w:val="20"/>
          <w:szCs w:val="20"/>
        </w:rPr>
        <w:t>Hayden, J. and D. Pursell.</w:t>
      </w:r>
      <w:proofErr w:type="gramEnd"/>
      <w:r w:rsidRPr="00596CC2">
        <w:rPr>
          <w:sz w:val="20"/>
          <w:szCs w:val="20"/>
        </w:rPr>
        <w:t xml:space="preserve"> 2005. The Barnett Shale: Visitors Guide to the Hottest Gas Play in the US. Pickering Energy Partners, Inc.</w:t>
      </w:r>
    </w:p>
    <w:p w:rsidR="008222D9" w:rsidRPr="00596CC2" w:rsidRDefault="008222D9" w:rsidP="00F724E7">
      <w:pPr>
        <w:spacing w:after="60"/>
        <w:ind w:left="284" w:hanging="284"/>
        <w:rPr>
          <w:sz w:val="20"/>
          <w:szCs w:val="20"/>
        </w:rPr>
      </w:pPr>
      <w:proofErr w:type="gramStart"/>
      <w:r w:rsidRPr="00596CC2">
        <w:rPr>
          <w:sz w:val="20"/>
          <w:szCs w:val="20"/>
        </w:rPr>
        <w:t>Johnson, E. A., K. Miyanishi, and J. M. H. Weir.</w:t>
      </w:r>
      <w:proofErr w:type="gramEnd"/>
      <w:r w:rsidRPr="00596CC2">
        <w:rPr>
          <w:sz w:val="20"/>
          <w:szCs w:val="20"/>
        </w:rPr>
        <w:t xml:space="preserve"> 1998. Wildfires in the western Canadian boreal forest: landscape patterns and ecosystem management. Journal of Vegetation Science 9(4): 603-610.</w:t>
      </w:r>
    </w:p>
    <w:p w:rsidR="008222D9" w:rsidRPr="00B24855" w:rsidRDefault="008222D9" w:rsidP="00F724E7">
      <w:pPr>
        <w:pStyle w:val="Citation"/>
        <w:spacing w:after="60"/>
        <w:ind w:left="198" w:hanging="198"/>
        <w:rPr>
          <w:sz w:val="20"/>
        </w:rPr>
      </w:pPr>
      <w:r w:rsidRPr="00B24855">
        <w:rPr>
          <w:sz w:val="20"/>
        </w:rPr>
        <w:t xml:space="preserve">Juday, G.P., V. Barber, P. Duffy, H. Linderhorm, S. Rupp, S. Sparrow, E. Vaganov and J.Yarie. 2005. Forests, Land Management and Agriculture. </w:t>
      </w:r>
      <w:proofErr w:type="gramStart"/>
      <w:r w:rsidRPr="00B24855">
        <w:rPr>
          <w:sz w:val="20"/>
        </w:rPr>
        <w:t>Chapter 14.</w:t>
      </w:r>
      <w:proofErr w:type="gramEnd"/>
      <w:r w:rsidRPr="00B24855">
        <w:rPr>
          <w:sz w:val="20"/>
        </w:rPr>
        <w:t xml:space="preserve"> Arctic Climate Impact Assessment: Scientific Report. Cambridge University Press, UK.</w:t>
      </w:r>
    </w:p>
    <w:p w:rsidR="008222D9" w:rsidRDefault="008222D9" w:rsidP="00F724E7">
      <w:pPr>
        <w:pStyle w:val="References"/>
        <w:numPr>
          <w:ilvl w:val="12"/>
          <w:numId w:val="0"/>
        </w:numPr>
        <w:spacing w:after="60"/>
        <w:ind w:left="187" w:hanging="187"/>
      </w:pPr>
      <w:proofErr w:type="gramStart"/>
      <w:r>
        <w:t>Karaim, B.W.; Wengert, E.M.; Szabo, T. 1990.</w:t>
      </w:r>
      <w:proofErr w:type="gramEnd"/>
      <w:r>
        <w:t xml:space="preserve"> </w:t>
      </w:r>
      <w:proofErr w:type="gramStart"/>
      <w:r>
        <w:t>Opportunities for aspen and balsam poplar production in Alberta.</w:t>
      </w:r>
      <w:proofErr w:type="gramEnd"/>
      <w:r>
        <w:t xml:space="preserve"> pp. 253–274. In: Aspen symposium ‘89. Adams, R.D. (editor). Duluth, MI. U.S. Department of Agriculture, Forest Service, North Central Forest Experimental Station, St. Paul, MI. General Technical Report. </w:t>
      </w:r>
      <w:proofErr w:type="gramStart"/>
      <w:r>
        <w:t>NC–140.</w:t>
      </w:r>
      <w:proofErr w:type="gramEnd"/>
    </w:p>
    <w:p w:rsidR="008222D9" w:rsidRPr="00B24855" w:rsidRDefault="008222D9" w:rsidP="00F724E7">
      <w:pPr>
        <w:pStyle w:val="Citation"/>
        <w:spacing w:after="60"/>
        <w:ind w:left="198" w:hanging="198"/>
        <w:rPr>
          <w:sz w:val="20"/>
        </w:rPr>
      </w:pPr>
      <w:proofErr w:type="gramStart"/>
      <w:r w:rsidRPr="00B24855">
        <w:rPr>
          <w:sz w:val="20"/>
        </w:rPr>
        <w:t>Kirk, D.A., J.T. Fisher, and B. Eaton.</w:t>
      </w:r>
      <w:proofErr w:type="gramEnd"/>
      <w:r w:rsidRPr="00B24855">
        <w:rPr>
          <w:sz w:val="20"/>
        </w:rPr>
        <w:t xml:space="preserve"> 2009. Wildlife indicators for the Lower Athabasca Region of Alberta: building models to develop coefficients for simulations. </w:t>
      </w:r>
      <w:proofErr w:type="gramStart"/>
      <w:r w:rsidRPr="00B24855">
        <w:rPr>
          <w:sz w:val="20"/>
        </w:rPr>
        <w:t>Prepared for the Lower Athabasca Regional Plan by the Species Modelling Team, Government of Alberta.</w:t>
      </w:r>
      <w:proofErr w:type="gramEnd"/>
    </w:p>
    <w:p w:rsidR="008222D9" w:rsidRPr="00B24855" w:rsidRDefault="008222D9" w:rsidP="00F724E7">
      <w:pPr>
        <w:pStyle w:val="Citation"/>
        <w:spacing w:after="60"/>
        <w:ind w:left="198" w:hanging="198"/>
        <w:rPr>
          <w:sz w:val="20"/>
        </w:rPr>
      </w:pPr>
      <w:proofErr w:type="gramStart"/>
      <w:r w:rsidRPr="00B24855">
        <w:rPr>
          <w:sz w:val="20"/>
        </w:rPr>
        <w:t>Kochtubajda  B</w:t>
      </w:r>
      <w:proofErr w:type="gramEnd"/>
      <w:r w:rsidRPr="00B24855">
        <w:rPr>
          <w:sz w:val="20"/>
        </w:rPr>
        <w:t>., M.D. Flannigan, J.R. Gyakum, R.E. Stewart, K.A. Logan, and T.V. Nguyen. 2006. Lightning and fires in the Northwest Territories and responses to future climate change. Arctic 59(2): 211-221.</w:t>
      </w:r>
    </w:p>
    <w:p w:rsidR="008222D9" w:rsidRPr="00596CC2" w:rsidRDefault="008222D9" w:rsidP="00F724E7">
      <w:pPr>
        <w:spacing w:after="60"/>
        <w:ind w:left="284" w:hanging="284"/>
        <w:rPr>
          <w:sz w:val="20"/>
          <w:szCs w:val="20"/>
        </w:rPr>
      </w:pPr>
      <w:r w:rsidRPr="00596CC2">
        <w:rPr>
          <w:sz w:val="20"/>
          <w:szCs w:val="20"/>
        </w:rPr>
        <w:lastRenderedPageBreak/>
        <w:t xml:space="preserve">Kull, S. J., W. A. Kurz, G. J. Rampley, G. E. Banfield, R. K. Schivatcheva, and M. J. Apps. 2007. Operational-Scale Carbon Budget Model of the Canadian Forest Sector (CBM-CFS3) Version 1.0: Users Guide. </w:t>
      </w:r>
      <w:proofErr w:type="gramStart"/>
      <w:r w:rsidRPr="00596CC2">
        <w:rPr>
          <w:sz w:val="20"/>
          <w:szCs w:val="20"/>
        </w:rPr>
        <w:t>Canadian Forest Service, Edmonton, AB.</w:t>
      </w:r>
      <w:proofErr w:type="gramEnd"/>
    </w:p>
    <w:p w:rsidR="008222D9" w:rsidRPr="00596CC2" w:rsidRDefault="008222D9" w:rsidP="00F724E7">
      <w:pPr>
        <w:spacing w:after="60"/>
        <w:ind w:left="284" w:hanging="284"/>
        <w:rPr>
          <w:sz w:val="20"/>
          <w:szCs w:val="20"/>
        </w:rPr>
      </w:pPr>
      <w:r w:rsidRPr="00596CC2">
        <w:rPr>
          <w:sz w:val="20"/>
          <w:szCs w:val="20"/>
        </w:rPr>
        <w:t xml:space="preserve">Kurz, W. A. et al. 2009. CBM-CFS3: A model of carbon-dynamics in forestry and </w:t>
      </w:r>
      <w:r>
        <w:rPr>
          <w:sz w:val="20"/>
          <w:szCs w:val="20"/>
        </w:rPr>
        <w:t>land-use</w:t>
      </w:r>
      <w:r w:rsidRPr="00596CC2">
        <w:rPr>
          <w:sz w:val="20"/>
          <w:szCs w:val="20"/>
        </w:rPr>
        <w:t xml:space="preserve"> change implementing IPCC standards. Ecological Modelling 220: 480-504.</w:t>
      </w:r>
    </w:p>
    <w:p w:rsidR="008222D9" w:rsidRDefault="008222D9" w:rsidP="00F724E7">
      <w:pPr>
        <w:pStyle w:val="References"/>
        <w:numPr>
          <w:ilvl w:val="12"/>
          <w:numId w:val="0"/>
        </w:numPr>
        <w:spacing w:after="60"/>
        <w:ind w:left="187" w:hanging="187"/>
      </w:pPr>
      <w:r>
        <w:t xml:space="preserve">La Roi, G.H.; Ostafichuk, M. 1982. </w:t>
      </w:r>
      <w:proofErr w:type="gramStart"/>
      <w:r>
        <w:t>Structural dynamics of boreal forest ecosystems on three habitat types in the Hondo-Lesser Slave Lake area of north central Alberta in 1981.</w:t>
      </w:r>
      <w:proofErr w:type="gramEnd"/>
      <w:r>
        <w:t xml:space="preserve"> </w:t>
      </w:r>
      <w:proofErr w:type="gramStart"/>
      <w:r>
        <w:t>Research Management Division Report.</w:t>
      </w:r>
      <w:proofErr w:type="gramEnd"/>
      <w:r>
        <w:t xml:space="preserve"> </w:t>
      </w:r>
      <w:proofErr w:type="gramStart"/>
      <w:r>
        <w:t>Alberta Environment, RMD/35A.</w:t>
      </w:r>
      <w:proofErr w:type="gramEnd"/>
    </w:p>
    <w:p w:rsidR="008222D9" w:rsidRPr="00B24855" w:rsidRDefault="008222D9" w:rsidP="00F724E7">
      <w:pPr>
        <w:pStyle w:val="Citation"/>
        <w:spacing w:after="60"/>
        <w:ind w:left="198" w:hanging="198"/>
        <w:rPr>
          <w:sz w:val="20"/>
        </w:rPr>
      </w:pPr>
      <w:proofErr w:type="gramStart"/>
      <w:r w:rsidRPr="00B24855">
        <w:rPr>
          <w:sz w:val="20"/>
        </w:rPr>
        <w:t>Lagimodiere, M. and B. Eaton.</w:t>
      </w:r>
      <w:proofErr w:type="gramEnd"/>
      <w:r w:rsidRPr="00B24855">
        <w:rPr>
          <w:sz w:val="20"/>
        </w:rPr>
        <w:t xml:space="preserve"> 2009. Fish and Fish Habitat Indicators for the Lower Athabasca Regional Plan (LARP):  Description, Rationale and Modelling Coefficients. </w:t>
      </w:r>
      <w:proofErr w:type="gramStart"/>
      <w:r w:rsidRPr="00B24855">
        <w:rPr>
          <w:sz w:val="20"/>
        </w:rPr>
        <w:t>Prepared for the Lower Athabasca Regional Plan by the Fish Element Team, Government of Alberta.</w:t>
      </w:r>
      <w:proofErr w:type="gramEnd"/>
    </w:p>
    <w:p w:rsidR="008222D9" w:rsidRPr="00596CC2" w:rsidRDefault="008222D9" w:rsidP="00F724E7">
      <w:pPr>
        <w:spacing w:after="60"/>
        <w:ind w:left="284" w:hanging="284"/>
        <w:rPr>
          <w:sz w:val="20"/>
          <w:szCs w:val="20"/>
        </w:rPr>
      </w:pPr>
      <w:r w:rsidRPr="00596CC2">
        <w:rPr>
          <w:sz w:val="20"/>
          <w:szCs w:val="20"/>
        </w:rPr>
        <w:t xml:space="preserve">Larsen, C.P.S. 1994. </w:t>
      </w:r>
      <w:proofErr w:type="gramStart"/>
      <w:r w:rsidRPr="00596CC2">
        <w:rPr>
          <w:sz w:val="20"/>
          <w:szCs w:val="20"/>
        </w:rPr>
        <w:t>Spatial and Temporal Variations in Forest Fire Frequency in the Boreal Forest of Northern Alberta.</w:t>
      </w:r>
      <w:proofErr w:type="gramEnd"/>
      <w:r w:rsidRPr="00596CC2">
        <w:rPr>
          <w:sz w:val="20"/>
          <w:szCs w:val="20"/>
        </w:rPr>
        <w:t xml:space="preserve"> </w:t>
      </w:r>
      <w:proofErr w:type="gramStart"/>
      <w:r w:rsidRPr="00596CC2">
        <w:rPr>
          <w:sz w:val="20"/>
          <w:szCs w:val="20"/>
        </w:rPr>
        <w:t>Ph.D. Thesis, McMaster University, Hamilton, ON.</w:t>
      </w:r>
      <w:proofErr w:type="gramEnd"/>
    </w:p>
    <w:p w:rsidR="008222D9" w:rsidRPr="00596CC2" w:rsidRDefault="008222D9" w:rsidP="00F724E7">
      <w:pPr>
        <w:spacing w:after="60"/>
        <w:ind w:left="284" w:hanging="284"/>
        <w:rPr>
          <w:sz w:val="20"/>
          <w:szCs w:val="20"/>
        </w:rPr>
      </w:pPr>
      <w:proofErr w:type="gramStart"/>
      <w:r w:rsidRPr="00596CC2">
        <w:rPr>
          <w:sz w:val="20"/>
          <w:szCs w:val="20"/>
        </w:rPr>
        <w:t>Lee, P. and R. Cheng.</w:t>
      </w:r>
      <w:proofErr w:type="gramEnd"/>
      <w:r w:rsidRPr="00596CC2">
        <w:rPr>
          <w:sz w:val="20"/>
          <w:szCs w:val="20"/>
        </w:rPr>
        <w:t xml:space="preserve"> 2009. Bitumen and Biocarbon: </w:t>
      </w:r>
      <w:r>
        <w:rPr>
          <w:sz w:val="20"/>
          <w:szCs w:val="20"/>
        </w:rPr>
        <w:t>Land-use</w:t>
      </w:r>
      <w:r w:rsidRPr="00596CC2">
        <w:rPr>
          <w:sz w:val="20"/>
          <w:szCs w:val="20"/>
        </w:rPr>
        <w:t xml:space="preserve"> Conversions and Loss of Biological Carbon due to Bitumen Operations in the Boreal Forests of Alberta, Canada. </w:t>
      </w:r>
      <w:proofErr w:type="gramStart"/>
      <w:r w:rsidRPr="00596CC2">
        <w:rPr>
          <w:sz w:val="20"/>
          <w:szCs w:val="20"/>
        </w:rPr>
        <w:t>Global Forest Watch Canada, Edmonton, AB.</w:t>
      </w:r>
      <w:proofErr w:type="gramEnd"/>
    </w:p>
    <w:p w:rsidR="008222D9" w:rsidRPr="00596CC2" w:rsidRDefault="008222D9" w:rsidP="00F724E7">
      <w:pPr>
        <w:spacing w:after="60"/>
        <w:ind w:left="284" w:hanging="284"/>
        <w:rPr>
          <w:sz w:val="20"/>
          <w:szCs w:val="20"/>
        </w:rPr>
      </w:pPr>
      <w:proofErr w:type="gramStart"/>
      <w:r w:rsidRPr="00596CC2">
        <w:rPr>
          <w:sz w:val="20"/>
          <w:szCs w:val="20"/>
        </w:rPr>
        <w:t>Lee, P. and S. Boutin.</w:t>
      </w:r>
      <w:proofErr w:type="gramEnd"/>
      <w:r w:rsidRPr="00596CC2">
        <w:rPr>
          <w:sz w:val="20"/>
          <w:szCs w:val="20"/>
        </w:rPr>
        <w:t xml:space="preserve"> 2006. Persistence and development transition of wide seismic lines in the western Boreal Plains of Canada. Journal of Environmental Management 78:240-250.</w:t>
      </w:r>
    </w:p>
    <w:p w:rsidR="008222D9" w:rsidRPr="00596CC2" w:rsidRDefault="008222D9" w:rsidP="00F724E7">
      <w:pPr>
        <w:spacing w:after="60"/>
        <w:ind w:left="284" w:hanging="284"/>
        <w:rPr>
          <w:sz w:val="20"/>
          <w:szCs w:val="20"/>
        </w:rPr>
      </w:pPr>
      <w:proofErr w:type="gramStart"/>
      <w:r w:rsidRPr="00596CC2">
        <w:rPr>
          <w:sz w:val="20"/>
          <w:szCs w:val="20"/>
        </w:rPr>
        <w:t>Lee, P., Z. Stanojevic, and J. D. Gysbers.</w:t>
      </w:r>
      <w:proofErr w:type="gramEnd"/>
      <w:r w:rsidRPr="00596CC2">
        <w:rPr>
          <w:sz w:val="20"/>
          <w:szCs w:val="20"/>
        </w:rPr>
        <w:t xml:space="preserve"> 2004. Canada’s Commercial Forest Tenures, 2003. </w:t>
      </w:r>
      <w:proofErr w:type="gramStart"/>
      <w:r w:rsidRPr="00596CC2">
        <w:rPr>
          <w:sz w:val="20"/>
          <w:szCs w:val="20"/>
        </w:rPr>
        <w:t>Global Forest Watch Canada, Edmonton, AB.</w:t>
      </w:r>
      <w:proofErr w:type="gramEnd"/>
    </w:p>
    <w:p w:rsidR="008222D9" w:rsidRDefault="008222D9" w:rsidP="00F724E7">
      <w:pPr>
        <w:pStyle w:val="References"/>
        <w:numPr>
          <w:ilvl w:val="12"/>
          <w:numId w:val="0"/>
        </w:numPr>
        <w:spacing w:after="60"/>
        <w:ind w:left="187" w:hanging="187"/>
      </w:pPr>
      <w:r>
        <w:t xml:space="preserve">Levins, R. 1968. </w:t>
      </w:r>
      <w:proofErr w:type="gramStart"/>
      <w:r>
        <w:t>Evolution in changing environments.</w:t>
      </w:r>
      <w:proofErr w:type="gramEnd"/>
      <w:r>
        <w:t xml:space="preserve"> </w:t>
      </w:r>
      <w:proofErr w:type="gramStart"/>
      <w:r>
        <w:t>Princeton University Press.</w:t>
      </w:r>
      <w:proofErr w:type="gramEnd"/>
      <w:r>
        <w:t xml:space="preserve"> Princeton, N.J.</w:t>
      </w:r>
    </w:p>
    <w:p w:rsidR="008222D9" w:rsidRDefault="008222D9" w:rsidP="00F724E7">
      <w:pPr>
        <w:pStyle w:val="References"/>
        <w:numPr>
          <w:ilvl w:val="12"/>
          <w:numId w:val="0"/>
        </w:numPr>
        <w:spacing w:after="60"/>
        <w:ind w:left="187" w:hanging="187"/>
      </w:pPr>
      <w:proofErr w:type="gramStart"/>
      <w:r>
        <w:t>MacArthur, R.H.; MacArthur, J.W.; Preer, J. 1962.</w:t>
      </w:r>
      <w:proofErr w:type="gramEnd"/>
      <w:r>
        <w:t xml:space="preserve"> </w:t>
      </w:r>
      <w:proofErr w:type="gramStart"/>
      <w:r>
        <w:t>On bird species diversity.</w:t>
      </w:r>
      <w:proofErr w:type="gramEnd"/>
      <w:r>
        <w:t xml:space="preserve"> II. Prediction of bird census from habitat measurements. American Naturalist 96:167–174.</w:t>
      </w:r>
    </w:p>
    <w:p w:rsidR="008222D9" w:rsidRPr="00596CC2" w:rsidRDefault="008222D9" w:rsidP="00F724E7">
      <w:pPr>
        <w:spacing w:after="60"/>
        <w:ind w:left="284" w:hanging="284"/>
        <w:rPr>
          <w:sz w:val="20"/>
          <w:szCs w:val="20"/>
        </w:rPr>
      </w:pPr>
      <w:proofErr w:type="gramStart"/>
      <w:r w:rsidRPr="00596CC2">
        <w:rPr>
          <w:sz w:val="20"/>
          <w:szCs w:val="20"/>
        </w:rPr>
        <w:t>MacFarlane, A. 1999.</w:t>
      </w:r>
      <w:proofErr w:type="gramEnd"/>
      <w:r w:rsidRPr="00596CC2">
        <w:rPr>
          <w:sz w:val="20"/>
          <w:szCs w:val="20"/>
        </w:rPr>
        <w:t xml:space="preserve"> </w:t>
      </w:r>
      <w:proofErr w:type="gramStart"/>
      <w:r w:rsidRPr="00596CC2">
        <w:rPr>
          <w:sz w:val="20"/>
          <w:szCs w:val="20"/>
        </w:rPr>
        <w:t>Revegetation of Wellsites and Seismic Lines in the Boreal Forest.</w:t>
      </w:r>
      <w:proofErr w:type="gramEnd"/>
      <w:r w:rsidRPr="00596CC2">
        <w:rPr>
          <w:sz w:val="20"/>
          <w:szCs w:val="20"/>
        </w:rPr>
        <w:t xml:space="preserve"> </w:t>
      </w:r>
      <w:proofErr w:type="gramStart"/>
      <w:r w:rsidRPr="00596CC2">
        <w:rPr>
          <w:sz w:val="20"/>
          <w:szCs w:val="20"/>
        </w:rPr>
        <w:t>University of Alberta Department of Biological Science Honour’s Thesis.</w:t>
      </w:r>
      <w:proofErr w:type="gramEnd"/>
    </w:p>
    <w:p w:rsidR="008222D9" w:rsidRPr="00B24855" w:rsidRDefault="008222D9" w:rsidP="00F724E7">
      <w:pPr>
        <w:pStyle w:val="Citation"/>
        <w:spacing w:after="60"/>
        <w:ind w:left="198" w:hanging="198"/>
        <w:rPr>
          <w:sz w:val="20"/>
        </w:rPr>
      </w:pPr>
      <w:r w:rsidRPr="00B24855">
        <w:rPr>
          <w:sz w:val="20"/>
        </w:rPr>
        <w:t>Mahmoud M., Y. Liu, H. Hartmann, S. Stewart, T. Wagener, D. Semmens, R. Stewart, H. Gupta, D. Dominguez, F. Dominguez, D. Hulse, R. Letcher, B. Rashleigh, C. Smith, R. Street, J. Ticehurst, M. Twery, H. van Delden, R. Waldick, and D. White.  2009.  A formal framework for scenario development in support of environmental decision-making.  Environmental Modeling and Software 24:798-808.</w:t>
      </w:r>
    </w:p>
    <w:p w:rsidR="008222D9" w:rsidRDefault="008222D9" w:rsidP="00F724E7">
      <w:pPr>
        <w:pStyle w:val="References"/>
        <w:numPr>
          <w:ilvl w:val="12"/>
          <w:numId w:val="0"/>
        </w:numPr>
        <w:spacing w:after="60"/>
        <w:ind w:left="187" w:hanging="187"/>
      </w:pPr>
      <w:proofErr w:type="gramStart"/>
      <w:r>
        <w:t>Maser, C.; Trappe, J.M. 1985.</w:t>
      </w:r>
      <w:proofErr w:type="gramEnd"/>
      <w:r>
        <w:t xml:space="preserve"> Food habits of the northern flying squirrel (</w:t>
      </w:r>
      <w:r>
        <w:rPr>
          <w:i/>
          <w:iCs/>
        </w:rPr>
        <w:t>Glaucomys sabrinus</w:t>
      </w:r>
      <w:r>
        <w:t>) in Oregon. Canadian Journal of Zoology 63:1084</w:t>
      </w:r>
      <w:r>
        <w:softHyphen/>
        <w:t>–1088.</w:t>
      </w:r>
    </w:p>
    <w:p w:rsidR="008222D9" w:rsidRDefault="008222D9" w:rsidP="00F724E7">
      <w:pPr>
        <w:pStyle w:val="References"/>
        <w:numPr>
          <w:ilvl w:val="12"/>
          <w:numId w:val="0"/>
        </w:numPr>
        <w:spacing w:after="60"/>
        <w:ind w:left="187" w:hanging="187"/>
      </w:pPr>
      <w:proofErr w:type="gramStart"/>
      <w:r>
        <w:t>May, R.M. 1975.</w:t>
      </w:r>
      <w:proofErr w:type="gramEnd"/>
      <w:r>
        <w:t xml:space="preserve"> </w:t>
      </w:r>
      <w:proofErr w:type="gramStart"/>
      <w:r>
        <w:t>Patterns of species abundance and diversity.</w:t>
      </w:r>
      <w:proofErr w:type="gramEnd"/>
      <w:r>
        <w:t xml:space="preserve"> pp. 81–120. In: Chapter 4. </w:t>
      </w:r>
      <w:proofErr w:type="gramStart"/>
      <w:r>
        <w:t>Ecology and evolution of communities.</w:t>
      </w:r>
      <w:proofErr w:type="gramEnd"/>
      <w:r>
        <w:t xml:space="preserve"> </w:t>
      </w:r>
      <w:proofErr w:type="gramStart"/>
      <w:r>
        <w:t>Cody, M.L.; Diamond, J.M. (editors).</w:t>
      </w:r>
      <w:proofErr w:type="gramEnd"/>
      <w:r>
        <w:t xml:space="preserve"> </w:t>
      </w:r>
      <w:proofErr w:type="gramStart"/>
      <w:r>
        <w:t>Harvard University Press, Cambridge, MA.</w:t>
      </w:r>
      <w:proofErr w:type="gramEnd"/>
    </w:p>
    <w:p w:rsidR="008222D9" w:rsidRPr="00596CC2" w:rsidRDefault="008222D9" w:rsidP="00F724E7">
      <w:pPr>
        <w:spacing w:after="60"/>
        <w:ind w:left="284" w:hanging="284"/>
        <w:rPr>
          <w:sz w:val="20"/>
          <w:szCs w:val="20"/>
        </w:rPr>
      </w:pPr>
      <w:proofErr w:type="gramStart"/>
      <w:r w:rsidRPr="00596CC2">
        <w:rPr>
          <w:sz w:val="20"/>
          <w:szCs w:val="20"/>
        </w:rPr>
        <w:t>McCulloch, M., M. Raynolds, and R. Wong.</w:t>
      </w:r>
      <w:proofErr w:type="gramEnd"/>
      <w:r w:rsidRPr="00596CC2">
        <w:rPr>
          <w:sz w:val="20"/>
          <w:szCs w:val="20"/>
        </w:rPr>
        <w:t xml:space="preserve"> 2006. Carbon Neutral 2020: A Leadership Opportunity in Canada’s Oil Sands. </w:t>
      </w:r>
      <w:proofErr w:type="gramStart"/>
      <w:r w:rsidRPr="00596CC2">
        <w:rPr>
          <w:sz w:val="20"/>
          <w:szCs w:val="20"/>
        </w:rPr>
        <w:t>The Pembina Institu</w:t>
      </w:r>
      <w:r>
        <w:rPr>
          <w:sz w:val="20"/>
          <w:szCs w:val="20"/>
        </w:rPr>
        <w:t>t</w:t>
      </w:r>
      <w:r w:rsidRPr="00596CC2">
        <w:rPr>
          <w:sz w:val="20"/>
          <w:szCs w:val="20"/>
        </w:rPr>
        <w:t>e, Drayton Valley, AB.</w:t>
      </w:r>
      <w:proofErr w:type="gramEnd"/>
    </w:p>
    <w:p w:rsidR="008222D9" w:rsidRDefault="008222D9" w:rsidP="00F724E7">
      <w:pPr>
        <w:pStyle w:val="References"/>
        <w:numPr>
          <w:ilvl w:val="12"/>
          <w:numId w:val="0"/>
        </w:numPr>
        <w:spacing w:after="60"/>
        <w:ind w:left="187" w:hanging="187"/>
      </w:pPr>
      <w:r>
        <w:t xml:space="preserve">McInnis, J. 1994. Northern Alberta. pp. 19–25. In: The taiga; a treasure or timber and trash. </w:t>
      </w:r>
      <w:proofErr w:type="gramStart"/>
      <w:r>
        <w:t>Taiga Rescue Network.</w:t>
      </w:r>
      <w:proofErr w:type="gramEnd"/>
      <w:r>
        <w:t xml:space="preserve"> </w:t>
      </w:r>
      <w:proofErr w:type="gramStart"/>
      <w:r>
        <w:t>5th edition.</w:t>
      </w:r>
      <w:proofErr w:type="gramEnd"/>
    </w:p>
    <w:p w:rsidR="008222D9" w:rsidRDefault="008222D9" w:rsidP="00F724E7">
      <w:pPr>
        <w:pStyle w:val="References"/>
        <w:numPr>
          <w:ilvl w:val="12"/>
          <w:numId w:val="0"/>
        </w:numPr>
        <w:spacing w:after="60"/>
        <w:ind w:left="187" w:hanging="187"/>
        <w:rPr>
          <w:b/>
          <w:bCs/>
        </w:rPr>
      </w:pPr>
      <w:r>
        <w:t>McKenzie-Brown, P. 1993. The greening of Al-Pac. Canadian Resources Review, November–December: 9–11.</w:t>
      </w:r>
    </w:p>
    <w:p w:rsidR="008222D9" w:rsidRDefault="008222D9" w:rsidP="00F724E7">
      <w:pPr>
        <w:pStyle w:val="References"/>
        <w:numPr>
          <w:ilvl w:val="12"/>
          <w:numId w:val="0"/>
        </w:numPr>
        <w:spacing w:after="60"/>
        <w:ind w:left="187" w:hanging="187"/>
      </w:pPr>
      <w:r>
        <w:t xml:space="preserve">Meslow, C.E. 1978. The relationship of birds to habitat structure: plant communities and successional stages. pp. 12–18. In: Proceedings of Workshop on Non-game Bird Habitat Management in the Coniferous Forest of the western United States. De Graff, R.M. (editor). February 7–9, 1977. Portland, OR. </w:t>
      </w:r>
      <w:proofErr w:type="gramStart"/>
      <w:r>
        <w:t>U.S. Dept. Agriculture Forest Service, Pacific NW Forest Range Experimental Station, General Technical Report PNW–69.</w:t>
      </w:r>
      <w:proofErr w:type="gramEnd"/>
    </w:p>
    <w:p w:rsidR="008222D9" w:rsidRPr="00596CC2" w:rsidRDefault="008222D9" w:rsidP="00F724E7">
      <w:pPr>
        <w:spacing w:after="60"/>
        <w:ind w:left="284" w:hanging="284"/>
        <w:rPr>
          <w:sz w:val="20"/>
          <w:szCs w:val="20"/>
        </w:rPr>
      </w:pPr>
      <w:proofErr w:type="gramStart"/>
      <w:r w:rsidRPr="00596CC2">
        <w:rPr>
          <w:sz w:val="20"/>
          <w:szCs w:val="20"/>
        </w:rPr>
        <w:t>Millington, D., and M. Mei.</w:t>
      </w:r>
      <w:proofErr w:type="gramEnd"/>
      <w:r w:rsidRPr="00596CC2">
        <w:rPr>
          <w:sz w:val="20"/>
          <w:szCs w:val="20"/>
        </w:rPr>
        <w:t xml:space="preserve"> 2011. Canadian Oil Sands Supply Costs and Development Projects (2010-2044). </w:t>
      </w:r>
      <w:proofErr w:type="gramStart"/>
      <w:r w:rsidRPr="00596CC2">
        <w:rPr>
          <w:sz w:val="20"/>
          <w:szCs w:val="20"/>
        </w:rPr>
        <w:t>Canadian Energy Research Institute, Calgary, AB.</w:t>
      </w:r>
      <w:proofErr w:type="gramEnd"/>
    </w:p>
    <w:p w:rsidR="008222D9" w:rsidRPr="00596CC2" w:rsidRDefault="008222D9" w:rsidP="00F724E7">
      <w:pPr>
        <w:spacing w:after="60"/>
        <w:ind w:left="284" w:hanging="284"/>
        <w:rPr>
          <w:sz w:val="20"/>
          <w:szCs w:val="20"/>
        </w:rPr>
      </w:pPr>
      <w:proofErr w:type="gramStart"/>
      <w:r w:rsidRPr="00596CC2">
        <w:rPr>
          <w:sz w:val="20"/>
          <w:szCs w:val="20"/>
        </w:rPr>
        <w:t>Mossop, G., and I. Shetsen.</w:t>
      </w:r>
      <w:proofErr w:type="gramEnd"/>
      <w:r w:rsidRPr="00596CC2">
        <w:rPr>
          <w:sz w:val="20"/>
          <w:szCs w:val="20"/>
        </w:rPr>
        <w:t xml:space="preserve"> 1994. Geological Atlas of the Western Canada Sedimentary Basin. Available online: http://www.ags.gov.ab.ca/publications/wcsb_atlas/atlas.html.</w:t>
      </w:r>
    </w:p>
    <w:p w:rsidR="008222D9" w:rsidRPr="00596CC2" w:rsidRDefault="008222D9" w:rsidP="00F724E7">
      <w:pPr>
        <w:spacing w:after="60"/>
        <w:ind w:left="284" w:hanging="284"/>
        <w:rPr>
          <w:sz w:val="20"/>
          <w:szCs w:val="20"/>
        </w:rPr>
      </w:pPr>
      <w:r w:rsidRPr="00596CC2">
        <w:rPr>
          <w:sz w:val="20"/>
          <w:szCs w:val="20"/>
        </w:rPr>
        <w:t xml:space="preserve">National Energy Board (NEB). 2003. Canada’s Energy Future: Scenarios for Supply and Demand to 2025. </w:t>
      </w:r>
      <w:proofErr w:type="gramStart"/>
      <w:r w:rsidRPr="00596CC2">
        <w:rPr>
          <w:sz w:val="20"/>
          <w:szCs w:val="20"/>
        </w:rPr>
        <w:t>National Ene</w:t>
      </w:r>
      <w:r>
        <w:rPr>
          <w:sz w:val="20"/>
          <w:szCs w:val="20"/>
        </w:rPr>
        <w:t>r</w:t>
      </w:r>
      <w:r w:rsidRPr="00596CC2">
        <w:rPr>
          <w:sz w:val="20"/>
          <w:szCs w:val="20"/>
        </w:rPr>
        <w:t>gy Board, Calgary, AB.</w:t>
      </w:r>
      <w:proofErr w:type="gramEnd"/>
    </w:p>
    <w:p w:rsidR="008222D9" w:rsidRPr="00596CC2" w:rsidRDefault="008222D9" w:rsidP="00F724E7">
      <w:pPr>
        <w:spacing w:after="60"/>
        <w:ind w:left="284" w:hanging="284"/>
        <w:rPr>
          <w:sz w:val="20"/>
          <w:szCs w:val="20"/>
        </w:rPr>
      </w:pPr>
      <w:r w:rsidRPr="00596CC2">
        <w:rPr>
          <w:sz w:val="20"/>
          <w:szCs w:val="20"/>
        </w:rPr>
        <w:t xml:space="preserve">National Energy Board (NEB). 2009. A Primer for Understanding Canadian Shale Gas. </w:t>
      </w:r>
      <w:proofErr w:type="gramStart"/>
      <w:r w:rsidRPr="00596CC2">
        <w:rPr>
          <w:sz w:val="20"/>
          <w:szCs w:val="20"/>
        </w:rPr>
        <w:t>National Energy Board, Calgary, AB.</w:t>
      </w:r>
      <w:proofErr w:type="gramEnd"/>
    </w:p>
    <w:p w:rsidR="008222D9" w:rsidRPr="00596CC2" w:rsidRDefault="008222D9" w:rsidP="00F724E7">
      <w:pPr>
        <w:spacing w:after="60"/>
        <w:ind w:left="284" w:hanging="284"/>
        <w:rPr>
          <w:sz w:val="20"/>
          <w:szCs w:val="20"/>
        </w:rPr>
      </w:pPr>
      <w:proofErr w:type="gramStart"/>
      <w:r w:rsidRPr="00596CC2">
        <w:rPr>
          <w:sz w:val="20"/>
          <w:szCs w:val="20"/>
        </w:rPr>
        <w:lastRenderedPageBreak/>
        <w:t>Natural Resources Canada.</w:t>
      </w:r>
      <w:proofErr w:type="gramEnd"/>
      <w:r w:rsidRPr="00596CC2">
        <w:rPr>
          <w:sz w:val="20"/>
          <w:szCs w:val="20"/>
        </w:rPr>
        <w:t xml:space="preserve"> 2008. Canadian Natural Gas: Review of 2007/08 &amp; Outlook to 2020. </w:t>
      </w:r>
      <w:proofErr w:type="gramStart"/>
      <w:r w:rsidRPr="00596CC2">
        <w:rPr>
          <w:sz w:val="20"/>
          <w:szCs w:val="20"/>
        </w:rPr>
        <w:t>Natural Gas Division, Petroleum Resources Branch, Natural Resources Canada, Ottawa, ON.</w:t>
      </w:r>
      <w:proofErr w:type="gramEnd"/>
    </w:p>
    <w:p w:rsidR="008222D9" w:rsidRDefault="008222D9" w:rsidP="00F724E7">
      <w:pPr>
        <w:pStyle w:val="References"/>
        <w:numPr>
          <w:ilvl w:val="12"/>
          <w:numId w:val="0"/>
        </w:numPr>
        <w:spacing w:after="60"/>
        <w:ind w:left="187" w:hanging="187"/>
      </w:pPr>
      <w:proofErr w:type="gramStart"/>
      <w:r>
        <w:t>Nikiforuk, A.; Struzik, E. 1989.</w:t>
      </w:r>
      <w:proofErr w:type="gramEnd"/>
      <w:r>
        <w:t xml:space="preserve"> </w:t>
      </w:r>
      <w:proofErr w:type="gramStart"/>
      <w:r>
        <w:t>The great forest sell-off.</w:t>
      </w:r>
      <w:proofErr w:type="gramEnd"/>
      <w:r>
        <w:t xml:space="preserve"> The Globe and Mail Report on Business, November 1989.</w:t>
      </w:r>
    </w:p>
    <w:p w:rsidR="008222D9" w:rsidRPr="00596CC2" w:rsidRDefault="008222D9" w:rsidP="00F724E7">
      <w:pPr>
        <w:spacing w:after="60"/>
        <w:ind w:left="284" w:hanging="284"/>
        <w:rPr>
          <w:sz w:val="20"/>
          <w:szCs w:val="20"/>
        </w:rPr>
      </w:pPr>
      <w:proofErr w:type="gramStart"/>
      <w:r w:rsidRPr="00596CC2">
        <w:rPr>
          <w:sz w:val="20"/>
          <w:szCs w:val="20"/>
        </w:rPr>
        <w:t>Nishi, J. S., and T. Antoniuk.</w:t>
      </w:r>
      <w:proofErr w:type="gramEnd"/>
      <w:r w:rsidRPr="00596CC2">
        <w:rPr>
          <w:sz w:val="20"/>
          <w:szCs w:val="20"/>
        </w:rPr>
        <w:t xml:space="preserve"> 2010. Cumulative Effect Thresholds and Natural Gas Development Scenarios in the Southern Dehcho. Unpublished report prepared for Indian and Northern Affairs Canada and Department of Environment and Natural Resources, Government of the Northwest Territories.</w:t>
      </w:r>
    </w:p>
    <w:p w:rsidR="008222D9" w:rsidRPr="00596CC2" w:rsidRDefault="008222D9" w:rsidP="00F724E7">
      <w:pPr>
        <w:spacing w:after="60"/>
        <w:ind w:left="284" w:hanging="284"/>
        <w:rPr>
          <w:sz w:val="20"/>
          <w:szCs w:val="20"/>
        </w:rPr>
      </w:pPr>
      <w:proofErr w:type="gramStart"/>
      <w:r w:rsidRPr="00596CC2">
        <w:rPr>
          <w:sz w:val="20"/>
          <w:szCs w:val="20"/>
        </w:rPr>
        <w:t>North Saskatchewan Watershed Alliance (NSWA).</w:t>
      </w:r>
      <w:proofErr w:type="gramEnd"/>
      <w:r w:rsidRPr="00596CC2">
        <w:rPr>
          <w:sz w:val="20"/>
          <w:szCs w:val="20"/>
        </w:rPr>
        <w:t xml:space="preserve"> 2009. Cumulative Effects Assessment of the North Saskatchewan River Watershed using ALCES. 32 pp + app. Submitted by Dr. M.G. Sullivan, ALCES Group. Edmonton, Alberta: The North Saskatchewan Watershed Alliance Society. </w:t>
      </w:r>
      <w:proofErr w:type="gramStart"/>
      <w:r w:rsidRPr="00596CC2">
        <w:rPr>
          <w:sz w:val="20"/>
          <w:szCs w:val="20"/>
        </w:rPr>
        <w:t>Available on the internet at http://nswa.ab.ca/cumulative_effects.</w:t>
      </w:r>
      <w:proofErr w:type="gramEnd"/>
    </w:p>
    <w:p w:rsidR="008222D9" w:rsidRDefault="008222D9" w:rsidP="00F724E7">
      <w:pPr>
        <w:pStyle w:val="References"/>
        <w:numPr>
          <w:ilvl w:val="12"/>
          <w:numId w:val="0"/>
        </w:numPr>
        <w:spacing w:after="60"/>
        <w:ind w:left="187" w:hanging="187"/>
      </w:pPr>
      <w:r>
        <w:t xml:space="preserve">Olson, D.M. 1992. The northern spotted owl conservation strategy: implications for Pacific Northwest forest invertebrates and associated ecosystem processes. Final report to the Northern Spotted Owl EIS Team, U.S. Department of Agriculture, Forest Service, OR. </w:t>
      </w:r>
      <w:proofErr w:type="gramStart"/>
      <w:r>
        <w:t>51 pp.</w:t>
      </w:r>
      <w:proofErr w:type="gramEnd"/>
    </w:p>
    <w:p w:rsidR="008222D9" w:rsidRPr="00596CC2" w:rsidRDefault="008222D9" w:rsidP="00F724E7">
      <w:pPr>
        <w:spacing w:after="60"/>
        <w:ind w:left="284" w:hanging="284"/>
        <w:rPr>
          <w:sz w:val="20"/>
          <w:szCs w:val="20"/>
        </w:rPr>
      </w:pPr>
      <w:proofErr w:type="gramStart"/>
      <w:r w:rsidRPr="00596CC2">
        <w:rPr>
          <w:sz w:val="20"/>
          <w:szCs w:val="20"/>
        </w:rPr>
        <w:t>PACTeam Canada.</w:t>
      </w:r>
      <w:proofErr w:type="gramEnd"/>
      <w:r w:rsidRPr="00596CC2">
        <w:rPr>
          <w:sz w:val="20"/>
          <w:szCs w:val="20"/>
        </w:rPr>
        <w:t xml:space="preserve"> 2003. A Spatial Analysis and Literature Review of Timber Potential in the Deh Cho Territory, NWT. Unpublished report prepared for the Deh Cho </w:t>
      </w:r>
      <w:r>
        <w:rPr>
          <w:sz w:val="20"/>
          <w:szCs w:val="20"/>
        </w:rPr>
        <w:t>Land-use</w:t>
      </w:r>
      <w:r w:rsidRPr="00596CC2">
        <w:rPr>
          <w:sz w:val="20"/>
          <w:szCs w:val="20"/>
        </w:rPr>
        <w:t xml:space="preserve"> Planning Committee.</w:t>
      </w:r>
    </w:p>
    <w:p w:rsidR="008222D9" w:rsidRPr="00596CC2" w:rsidRDefault="008222D9" w:rsidP="00F724E7">
      <w:pPr>
        <w:spacing w:after="60"/>
        <w:ind w:left="284" w:hanging="284"/>
        <w:rPr>
          <w:sz w:val="20"/>
          <w:szCs w:val="20"/>
        </w:rPr>
      </w:pPr>
      <w:proofErr w:type="gramStart"/>
      <w:r w:rsidRPr="00596CC2">
        <w:rPr>
          <w:sz w:val="20"/>
          <w:szCs w:val="20"/>
        </w:rPr>
        <w:t>Park, D., M. Sullivan, E. Bayne, and G. Scrimgeour.</w:t>
      </w:r>
      <w:proofErr w:type="gramEnd"/>
      <w:r w:rsidRPr="00596CC2">
        <w:rPr>
          <w:sz w:val="20"/>
          <w:szCs w:val="20"/>
        </w:rPr>
        <w:t xml:space="preserve"> 2008. Landscape-level stream fragmentation caused by hanging culverts along roads in Alberta’s boreal forest. Canadian Journal of Forest Research 38:566-675.</w:t>
      </w:r>
    </w:p>
    <w:p w:rsidR="008222D9" w:rsidRDefault="008222D9" w:rsidP="00F724E7">
      <w:pPr>
        <w:pStyle w:val="References"/>
        <w:widowControl w:val="0"/>
        <w:numPr>
          <w:ilvl w:val="12"/>
          <w:numId w:val="0"/>
        </w:numPr>
        <w:spacing w:after="60"/>
        <w:ind w:left="187" w:hanging="187"/>
      </w:pPr>
      <w:r>
        <w:t xml:space="preserve">Pettapiece, W.W. 1986. </w:t>
      </w:r>
      <w:proofErr w:type="gramStart"/>
      <w:r>
        <w:t>Physiographic subdivision of Alberta.</w:t>
      </w:r>
      <w:proofErr w:type="gramEnd"/>
      <w:r>
        <w:t xml:space="preserve"> </w:t>
      </w:r>
      <w:proofErr w:type="gramStart"/>
      <w:r>
        <w:t>Agriculture Canada, Alberta Institute of Pedology, Edmonton, AB.</w:t>
      </w:r>
      <w:proofErr w:type="gramEnd"/>
    </w:p>
    <w:p w:rsidR="008222D9" w:rsidRDefault="008222D9" w:rsidP="00F724E7">
      <w:pPr>
        <w:pStyle w:val="References"/>
        <w:numPr>
          <w:ilvl w:val="12"/>
          <w:numId w:val="0"/>
        </w:numPr>
        <w:spacing w:after="60"/>
        <w:ind w:left="187" w:hanging="187"/>
      </w:pPr>
      <w:proofErr w:type="gramStart"/>
      <w:r>
        <w:t>Pollard, D.F.W. 1971.</w:t>
      </w:r>
      <w:proofErr w:type="gramEnd"/>
      <w:r>
        <w:t xml:space="preserve"> Mortality and annual changes in distribution of above-ground biomass in an aspen sucker stand. Canadian Journal of Forest Research 1:262–266.</w:t>
      </w:r>
    </w:p>
    <w:p w:rsidR="008222D9" w:rsidRPr="00596CC2" w:rsidRDefault="008222D9" w:rsidP="00F724E7">
      <w:pPr>
        <w:spacing w:after="60"/>
        <w:ind w:left="284" w:hanging="284"/>
        <w:rPr>
          <w:sz w:val="20"/>
          <w:szCs w:val="20"/>
        </w:rPr>
      </w:pPr>
      <w:proofErr w:type="gramStart"/>
      <w:r w:rsidRPr="00596CC2">
        <w:rPr>
          <w:sz w:val="20"/>
          <w:szCs w:val="20"/>
        </w:rPr>
        <w:t>Power, K.; Gillis, M.D. 2006.</w:t>
      </w:r>
      <w:proofErr w:type="gramEnd"/>
      <w:r w:rsidRPr="00596CC2">
        <w:rPr>
          <w:sz w:val="20"/>
          <w:szCs w:val="20"/>
        </w:rPr>
        <w:t xml:space="preserve"> Canada’s forest inventory 2001. </w:t>
      </w:r>
      <w:proofErr w:type="gramStart"/>
      <w:r w:rsidRPr="00596CC2">
        <w:rPr>
          <w:sz w:val="20"/>
          <w:szCs w:val="20"/>
        </w:rPr>
        <w:t>Canadian Forest Service, Pacific Forestry Centre, Victoria, B.C., Information Report BC-X-408E.</w:t>
      </w:r>
      <w:proofErr w:type="gramEnd"/>
      <w:r w:rsidRPr="00596CC2">
        <w:rPr>
          <w:sz w:val="20"/>
          <w:szCs w:val="20"/>
        </w:rPr>
        <w:t xml:space="preserve"> </w:t>
      </w:r>
      <w:proofErr w:type="gramStart"/>
      <w:r w:rsidRPr="00596CC2">
        <w:rPr>
          <w:sz w:val="20"/>
          <w:szCs w:val="20"/>
        </w:rPr>
        <w:t>100 p.</w:t>
      </w:r>
      <w:proofErr w:type="gramEnd"/>
    </w:p>
    <w:p w:rsidR="008222D9" w:rsidRDefault="008222D9" w:rsidP="00F724E7">
      <w:pPr>
        <w:pStyle w:val="References"/>
        <w:numPr>
          <w:ilvl w:val="12"/>
          <w:numId w:val="0"/>
        </w:numPr>
        <w:spacing w:after="60"/>
        <w:ind w:left="187" w:hanging="187"/>
      </w:pPr>
      <w:proofErr w:type="gramStart"/>
      <w:r>
        <w:t>Pratt, L.; Urquhart, I. 1994.</w:t>
      </w:r>
      <w:proofErr w:type="gramEnd"/>
      <w:r>
        <w:t xml:space="preserve"> </w:t>
      </w:r>
      <w:proofErr w:type="gramStart"/>
      <w:r>
        <w:t>The last great forest; Japanese multinationals and Alberta’s northern forests.</w:t>
      </w:r>
      <w:proofErr w:type="gramEnd"/>
      <w:r>
        <w:t xml:space="preserve"> </w:t>
      </w:r>
      <w:proofErr w:type="gramStart"/>
      <w:r>
        <w:t>NeWest Press Edmonton, AB.</w:t>
      </w:r>
      <w:proofErr w:type="gramEnd"/>
      <w:r>
        <w:t xml:space="preserve"> </w:t>
      </w:r>
    </w:p>
    <w:p w:rsidR="008222D9" w:rsidRPr="00596CC2" w:rsidRDefault="008222D9" w:rsidP="00F724E7">
      <w:pPr>
        <w:spacing w:after="60"/>
        <w:ind w:left="284" w:hanging="284"/>
        <w:rPr>
          <w:sz w:val="20"/>
          <w:szCs w:val="20"/>
        </w:rPr>
      </w:pPr>
      <w:proofErr w:type="gramStart"/>
      <w:r w:rsidRPr="00596CC2">
        <w:rPr>
          <w:sz w:val="20"/>
          <w:szCs w:val="20"/>
        </w:rPr>
        <w:t>Prebble, P., A. Coxworth, T. Simieritsch, S. Dyer, M. Huot, and H. Walsh.</w:t>
      </w:r>
      <w:proofErr w:type="gramEnd"/>
      <w:r w:rsidRPr="00596CC2">
        <w:rPr>
          <w:sz w:val="20"/>
          <w:szCs w:val="20"/>
        </w:rPr>
        <w:t xml:space="preserve"> 2009. Carbon Copy: Preventing Oil Sands Fever in Saskatchewan. </w:t>
      </w:r>
      <w:proofErr w:type="gramStart"/>
      <w:r w:rsidRPr="00596CC2">
        <w:rPr>
          <w:sz w:val="20"/>
          <w:szCs w:val="20"/>
        </w:rPr>
        <w:t>The Pembina Institute, Saskatchewan Environmental Society, and Canadian Parks and Wilderness Society.</w:t>
      </w:r>
      <w:proofErr w:type="gramEnd"/>
    </w:p>
    <w:p w:rsidR="008222D9" w:rsidRPr="00596CC2" w:rsidRDefault="008222D9" w:rsidP="00F724E7">
      <w:pPr>
        <w:spacing w:after="60"/>
        <w:ind w:left="284" w:hanging="284"/>
        <w:rPr>
          <w:sz w:val="20"/>
          <w:szCs w:val="20"/>
        </w:rPr>
      </w:pPr>
      <w:proofErr w:type="gramStart"/>
      <w:r w:rsidRPr="00596CC2">
        <w:rPr>
          <w:sz w:val="20"/>
          <w:szCs w:val="20"/>
        </w:rPr>
        <w:t>PriceWaterhouseCoopers.</w:t>
      </w:r>
      <w:proofErr w:type="gramEnd"/>
      <w:r w:rsidRPr="00596CC2">
        <w:rPr>
          <w:sz w:val="20"/>
          <w:szCs w:val="20"/>
        </w:rPr>
        <w:t xml:space="preserve"> 2009. Alberta Industry Sector Performance and Prospects. </w:t>
      </w:r>
      <w:proofErr w:type="gramStart"/>
      <w:r w:rsidRPr="00596CC2">
        <w:rPr>
          <w:sz w:val="20"/>
          <w:szCs w:val="20"/>
        </w:rPr>
        <w:t>PriceWaterhouseCoopers.</w:t>
      </w:r>
      <w:proofErr w:type="gramEnd"/>
    </w:p>
    <w:p w:rsidR="008222D9" w:rsidRDefault="008222D9" w:rsidP="00F724E7">
      <w:pPr>
        <w:pStyle w:val="References"/>
        <w:numPr>
          <w:ilvl w:val="12"/>
          <w:numId w:val="0"/>
        </w:numPr>
        <w:spacing w:after="60"/>
        <w:ind w:left="187" w:hanging="187"/>
      </w:pPr>
      <w:r>
        <w:t xml:space="preserve">Probst, J.R.; Rakstad, D.S. 1987. </w:t>
      </w:r>
      <w:proofErr w:type="gramStart"/>
      <w:r>
        <w:t>Small mammal communities in three aspen stand-age classes.</w:t>
      </w:r>
      <w:proofErr w:type="gramEnd"/>
      <w:r>
        <w:t xml:space="preserve"> Canadian Field Naturalist 101:362–368.</w:t>
      </w:r>
    </w:p>
    <w:p w:rsidR="008222D9" w:rsidRDefault="008222D9" w:rsidP="00F724E7">
      <w:pPr>
        <w:pStyle w:val="References"/>
        <w:numPr>
          <w:ilvl w:val="12"/>
          <w:numId w:val="0"/>
        </w:numPr>
        <w:spacing w:after="60"/>
        <w:ind w:left="187" w:hanging="187"/>
      </w:pPr>
      <w:proofErr w:type="gramStart"/>
      <w:r>
        <w:t>Rainey, W.E.; Pierson, E.D.; Colbert, M.; Barclay, J.H. 1992.</w:t>
      </w:r>
      <w:proofErr w:type="gramEnd"/>
      <w:r>
        <w:t xml:space="preserve"> Bats in hollow redwoods: seasonal use and role in nutrient transfer into old</w:t>
      </w:r>
      <w:r>
        <w:softHyphen/>
        <w:t>-growth communities. Bat Research News 33:71.</w:t>
      </w:r>
    </w:p>
    <w:p w:rsidR="008222D9" w:rsidRPr="00596CC2" w:rsidRDefault="008222D9" w:rsidP="00F724E7">
      <w:pPr>
        <w:spacing w:after="60"/>
        <w:ind w:left="284" w:hanging="284"/>
        <w:rPr>
          <w:sz w:val="20"/>
          <w:szCs w:val="20"/>
        </w:rPr>
      </w:pPr>
      <w:proofErr w:type="gramStart"/>
      <w:r w:rsidRPr="00596CC2">
        <w:rPr>
          <w:sz w:val="20"/>
          <w:szCs w:val="20"/>
        </w:rPr>
        <w:t>Schieck, J., and S. J. Song.</w:t>
      </w:r>
      <w:proofErr w:type="gramEnd"/>
      <w:r w:rsidRPr="00596CC2">
        <w:rPr>
          <w:sz w:val="20"/>
          <w:szCs w:val="20"/>
        </w:rPr>
        <w:t xml:space="preserve"> 2006. Changes in bird communities throughout succession following fire and harvest in boreal forests of western North America: literature review and meta-analyses. Canadian Journal of Forest Research 36: 1299–1318.</w:t>
      </w:r>
    </w:p>
    <w:p w:rsidR="008222D9" w:rsidRPr="00596CC2" w:rsidRDefault="008222D9" w:rsidP="00F724E7">
      <w:pPr>
        <w:spacing w:after="60"/>
        <w:ind w:left="284" w:hanging="284"/>
        <w:rPr>
          <w:sz w:val="20"/>
          <w:szCs w:val="20"/>
        </w:rPr>
      </w:pPr>
      <w:proofErr w:type="gramStart"/>
      <w:r w:rsidRPr="00596CC2">
        <w:rPr>
          <w:sz w:val="20"/>
          <w:szCs w:val="20"/>
        </w:rPr>
        <w:t>Schneider, R. R., G. Hauer, W. L. Adamowicz, and S. Boutin.</w:t>
      </w:r>
      <w:proofErr w:type="gramEnd"/>
      <w:r w:rsidRPr="00596CC2">
        <w:rPr>
          <w:sz w:val="20"/>
          <w:szCs w:val="20"/>
        </w:rPr>
        <w:t xml:space="preserve"> 2010. Triage for conserving populations of threatened species: the case of woodland caribou in Alberta. Biological Conservation 143: 1603-1611.</w:t>
      </w:r>
    </w:p>
    <w:p w:rsidR="008222D9" w:rsidRPr="00596CC2" w:rsidRDefault="008222D9" w:rsidP="00F724E7">
      <w:pPr>
        <w:spacing w:after="60"/>
        <w:ind w:left="284" w:hanging="284"/>
        <w:rPr>
          <w:sz w:val="20"/>
          <w:szCs w:val="20"/>
        </w:rPr>
      </w:pPr>
      <w:proofErr w:type="gramStart"/>
      <w:r w:rsidRPr="00596CC2">
        <w:rPr>
          <w:sz w:val="20"/>
          <w:szCs w:val="20"/>
        </w:rPr>
        <w:t>Schneider, R., and S. Dyer.</w:t>
      </w:r>
      <w:proofErr w:type="gramEnd"/>
      <w:r w:rsidRPr="00596CC2">
        <w:rPr>
          <w:sz w:val="20"/>
          <w:szCs w:val="20"/>
        </w:rPr>
        <w:t xml:space="preserve"> 2006. Death by a Thousand Cuts: Impacts of </w:t>
      </w:r>
      <w:proofErr w:type="gramStart"/>
      <w:r w:rsidRPr="00596CC2">
        <w:rPr>
          <w:sz w:val="20"/>
          <w:szCs w:val="20"/>
        </w:rPr>
        <w:t>In</w:t>
      </w:r>
      <w:proofErr w:type="gramEnd"/>
      <w:r w:rsidRPr="00596CC2">
        <w:rPr>
          <w:sz w:val="20"/>
          <w:szCs w:val="20"/>
        </w:rPr>
        <w:t xml:space="preserve"> Situ Oil Sands Development on Alberta’s Boreal Forest. Canadian Parks and Wilderness Society and </w:t>
      </w:r>
      <w:proofErr w:type="gramStart"/>
      <w:r w:rsidRPr="00596CC2">
        <w:rPr>
          <w:sz w:val="20"/>
          <w:szCs w:val="20"/>
        </w:rPr>
        <w:t>The</w:t>
      </w:r>
      <w:proofErr w:type="gramEnd"/>
      <w:r w:rsidRPr="00596CC2">
        <w:rPr>
          <w:sz w:val="20"/>
          <w:szCs w:val="20"/>
        </w:rPr>
        <w:t xml:space="preserve"> Pembina Institute.</w:t>
      </w:r>
    </w:p>
    <w:p w:rsidR="008222D9" w:rsidRPr="00596CC2" w:rsidRDefault="008222D9" w:rsidP="00F724E7">
      <w:pPr>
        <w:spacing w:after="60"/>
        <w:ind w:left="284" w:hanging="284"/>
        <w:rPr>
          <w:sz w:val="20"/>
          <w:szCs w:val="20"/>
        </w:rPr>
      </w:pPr>
      <w:r w:rsidRPr="00596CC2">
        <w:rPr>
          <w:sz w:val="20"/>
          <w:szCs w:val="20"/>
        </w:rPr>
        <w:t xml:space="preserve">Schneider, R.R. 2002. Alternative Futures: Alberta’s Boreal Forest as the Crossroads. The Federation of Alberta Naturalists and </w:t>
      </w:r>
      <w:proofErr w:type="gramStart"/>
      <w:r w:rsidRPr="00596CC2">
        <w:rPr>
          <w:sz w:val="20"/>
          <w:szCs w:val="20"/>
        </w:rPr>
        <w:t>The</w:t>
      </w:r>
      <w:proofErr w:type="gramEnd"/>
      <w:r w:rsidRPr="00596CC2">
        <w:rPr>
          <w:sz w:val="20"/>
          <w:szCs w:val="20"/>
        </w:rPr>
        <w:t xml:space="preserve"> Alberta Centre for Boreal Research, Edmonton, Alberta.</w:t>
      </w:r>
    </w:p>
    <w:p w:rsidR="008222D9" w:rsidRDefault="008222D9" w:rsidP="00F724E7">
      <w:pPr>
        <w:pStyle w:val="References"/>
        <w:numPr>
          <w:ilvl w:val="12"/>
          <w:numId w:val="0"/>
        </w:numPr>
        <w:spacing w:after="60"/>
        <w:ind w:left="187" w:hanging="187"/>
      </w:pPr>
      <w:proofErr w:type="gramStart"/>
      <w:r>
        <w:t>Spence, J.; Langor, D. 1994.</w:t>
      </w:r>
      <w:proofErr w:type="gramEnd"/>
      <w:r>
        <w:t xml:space="preserve"> </w:t>
      </w:r>
      <w:proofErr w:type="gramStart"/>
      <w:r>
        <w:t>Effects of forestry practices on biodiversity of litter-dwelling beetles in aspen forests.</w:t>
      </w:r>
      <w:proofErr w:type="gramEnd"/>
      <w:r>
        <w:t xml:space="preserve"> </w:t>
      </w:r>
      <w:proofErr w:type="gramStart"/>
      <w:r>
        <w:t>Final report to Alberta Forest Research Development Trust Fund, Edmonton, AB.</w:t>
      </w:r>
      <w:proofErr w:type="gramEnd"/>
    </w:p>
    <w:p w:rsidR="008222D9" w:rsidRPr="00596CC2" w:rsidRDefault="008222D9" w:rsidP="00F724E7">
      <w:pPr>
        <w:spacing w:after="60"/>
        <w:ind w:left="284" w:hanging="284"/>
        <w:rPr>
          <w:sz w:val="20"/>
          <w:szCs w:val="20"/>
        </w:rPr>
      </w:pPr>
      <w:proofErr w:type="gramStart"/>
      <w:r w:rsidRPr="00596CC2">
        <w:rPr>
          <w:sz w:val="20"/>
          <w:szCs w:val="20"/>
        </w:rPr>
        <w:t>Statistics Canada.</w:t>
      </w:r>
      <w:proofErr w:type="gramEnd"/>
      <w:r w:rsidRPr="00596CC2">
        <w:rPr>
          <w:sz w:val="20"/>
          <w:szCs w:val="20"/>
        </w:rPr>
        <w:t xml:space="preserve"> </w:t>
      </w:r>
      <w:proofErr w:type="gramStart"/>
      <w:r w:rsidRPr="00596CC2">
        <w:rPr>
          <w:sz w:val="20"/>
          <w:szCs w:val="20"/>
        </w:rPr>
        <w:t>2001a. 2001 Census of Agriculture.</w:t>
      </w:r>
      <w:proofErr w:type="gramEnd"/>
      <w:r w:rsidRPr="00596CC2">
        <w:rPr>
          <w:sz w:val="20"/>
          <w:szCs w:val="20"/>
        </w:rPr>
        <w:t xml:space="preserve">  </w:t>
      </w:r>
      <w:proofErr w:type="gramStart"/>
      <w:r w:rsidRPr="00596CC2">
        <w:rPr>
          <w:sz w:val="20"/>
          <w:szCs w:val="20"/>
        </w:rPr>
        <w:t>Available online at http://www.statcan.ca/english/agcensus2001/index.htm.</w:t>
      </w:r>
      <w:proofErr w:type="gramEnd"/>
    </w:p>
    <w:p w:rsidR="008222D9" w:rsidRPr="00596CC2" w:rsidRDefault="008222D9" w:rsidP="00F724E7">
      <w:pPr>
        <w:spacing w:after="60"/>
        <w:ind w:left="284" w:hanging="284"/>
        <w:rPr>
          <w:sz w:val="20"/>
          <w:szCs w:val="20"/>
        </w:rPr>
      </w:pPr>
      <w:proofErr w:type="gramStart"/>
      <w:r w:rsidRPr="00596CC2">
        <w:rPr>
          <w:sz w:val="20"/>
          <w:szCs w:val="20"/>
        </w:rPr>
        <w:t>Statistics Canada.</w:t>
      </w:r>
      <w:proofErr w:type="gramEnd"/>
      <w:r w:rsidRPr="00596CC2">
        <w:rPr>
          <w:sz w:val="20"/>
          <w:szCs w:val="20"/>
        </w:rPr>
        <w:t xml:space="preserve"> </w:t>
      </w:r>
      <w:proofErr w:type="gramStart"/>
      <w:r w:rsidRPr="00596CC2">
        <w:rPr>
          <w:sz w:val="20"/>
          <w:szCs w:val="20"/>
        </w:rPr>
        <w:t>2001b. 2001 Census of Population.</w:t>
      </w:r>
      <w:proofErr w:type="gramEnd"/>
      <w:r w:rsidRPr="00596CC2">
        <w:rPr>
          <w:sz w:val="20"/>
          <w:szCs w:val="20"/>
        </w:rPr>
        <w:t xml:space="preserve"> </w:t>
      </w:r>
      <w:proofErr w:type="gramStart"/>
      <w:r w:rsidRPr="00596CC2">
        <w:rPr>
          <w:sz w:val="20"/>
          <w:szCs w:val="20"/>
        </w:rPr>
        <w:t>Available online at http://www12.statcan.ca/english/census01/home/Index.cfm.</w:t>
      </w:r>
      <w:proofErr w:type="gramEnd"/>
      <w:r w:rsidRPr="00596CC2">
        <w:rPr>
          <w:sz w:val="20"/>
          <w:szCs w:val="20"/>
        </w:rPr>
        <w:t xml:space="preserve">   </w:t>
      </w:r>
    </w:p>
    <w:p w:rsidR="008222D9" w:rsidRPr="00596CC2" w:rsidRDefault="008222D9" w:rsidP="00F724E7">
      <w:pPr>
        <w:spacing w:after="60"/>
        <w:ind w:left="284" w:hanging="284"/>
        <w:rPr>
          <w:sz w:val="20"/>
          <w:szCs w:val="20"/>
        </w:rPr>
      </w:pPr>
      <w:proofErr w:type="gramStart"/>
      <w:r w:rsidRPr="00596CC2">
        <w:rPr>
          <w:sz w:val="20"/>
          <w:szCs w:val="20"/>
        </w:rPr>
        <w:lastRenderedPageBreak/>
        <w:t>Statistics Canada.</w:t>
      </w:r>
      <w:proofErr w:type="gramEnd"/>
      <w:r w:rsidRPr="00596CC2">
        <w:rPr>
          <w:sz w:val="20"/>
          <w:szCs w:val="20"/>
        </w:rPr>
        <w:t xml:space="preserve"> </w:t>
      </w:r>
      <w:proofErr w:type="gramStart"/>
      <w:r w:rsidRPr="00596CC2">
        <w:rPr>
          <w:sz w:val="20"/>
          <w:szCs w:val="20"/>
        </w:rPr>
        <w:t>2006a. 2006 Census of Agriculture.</w:t>
      </w:r>
      <w:proofErr w:type="gramEnd"/>
      <w:r w:rsidRPr="00596CC2">
        <w:rPr>
          <w:sz w:val="20"/>
          <w:szCs w:val="20"/>
        </w:rPr>
        <w:t xml:space="preserve">  </w:t>
      </w:r>
      <w:proofErr w:type="gramStart"/>
      <w:r w:rsidRPr="00596CC2">
        <w:rPr>
          <w:sz w:val="20"/>
          <w:szCs w:val="20"/>
        </w:rPr>
        <w:t>Available online at http://www.statcan.gc.ca/ca-ra2006/index-eng.htm.</w:t>
      </w:r>
      <w:proofErr w:type="gramEnd"/>
    </w:p>
    <w:p w:rsidR="008222D9" w:rsidRPr="00596CC2" w:rsidRDefault="008222D9" w:rsidP="00F724E7">
      <w:pPr>
        <w:spacing w:after="60"/>
        <w:ind w:left="284" w:hanging="284"/>
        <w:rPr>
          <w:sz w:val="20"/>
          <w:szCs w:val="20"/>
        </w:rPr>
      </w:pPr>
      <w:proofErr w:type="gramStart"/>
      <w:r w:rsidRPr="00596CC2">
        <w:rPr>
          <w:sz w:val="20"/>
          <w:szCs w:val="20"/>
        </w:rPr>
        <w:t>Statistics Canada.</w:t>
      </w:r>
      <w:proofErr w:type="gramEnd"/>
      <w:r w:rsidRPr="00596CC2">
        <w:rPr>
          <w:sz w:val="20"/>
          <w:szCs w:val="20"/>
        </w:rPr>
        <w:t xml:space="preserve"> </w:t>
      </w:r>
      <w:proofErr w:type="gramStart"/>
      <w:r w:rsidRPr="00596CC2">
        <w:rPr>
          <w:sz w:val="20"/>
          <w:szCs w:val="20"/>
        </w:rPr>
        <w:t>2006b. 2006 Census of Population.</w:t>
      </w:r>
      <w:proofErr w:type="gramEnd"/>
      <w:r w:rsidRPr="00596CC2">
        <w:rPr>
          <w:sz w:val="20"/>
          <w:szCs w:val="20"/>
        </w:rPr>
        <w:t xml:space="preserve"> </w:t>
      </w:r>
      <w:proofErr w:type="gramStart"/>
      <w:r w:rsidRPr="00596CC2">
        <w:rPr>
          <w:sz w:val="20"/>
          <w:szCs w:val="20"/>
        </w:rPr>
        <w:t>Available online at http://www12.statcan.ca/census-recensement/2006/dp-pd/index-eng.cfm.</w:t>
      </w:r>
      <w:proofErr w:type="gramEnd"/>
      <w:r w:rsidRPr="00596CC2">
        <w:rPr>
          <w:sz w:val="20"/>
          <w:szCs w:val="20"/>
        </w:rPr>
        <w:t xml:space="preserve"> </w:t>
      </w:r>
    </w:p>
    <w:p w:rsidR="008222D9" w:rsidRDefault="008222D9" w:rsidP="00F724E7">
      <w:pPr>
        <w:pStyle w:val="References"/>
        <w:numPr>
          <w:ilvl w:val="12"/>
          <w:numId w:val="0"/>
        </w:numPr>
        <w:spacing w:after="60"/>
        <w:ind w:left="187" w:hanging="187"/>
      </w:pPr>
      <w:r>
        <w:t>Stevenson, S. 1993. It is all systems go for Alberta-Pacific. Pulp &amp; Paper Canada 94(11):13–18.</w:t>
      </w:r>
    </w:p>
    <w:p w:rsidR="008222D9" w:rsidRPr="00596CC2" w:rsidRDefault="008222D9" w:rsidP="00F724E7">
      <w:pPr>
        <w:spacing w:after="60"/>
        <w:ind w:left="284" w:hanging="284"/>
        <w:rPr>
          <w:sz w:val="20"/>
          <w:szCs w:val="20"/>
        </w:rPr>
      </w:pPr>
      <w:proofErr w:type="gramStart"/>
      <w:r w:rsidRPr="00596CC2">
        <w:rPr>
          <w:sz w:val="20"/>
          <w:szCs w:val="20"/>
        </w:rPr>
        <w:t>Stocks, B.J. et al. 2002.</w:t>
      </w:r>
      <w:proofErr w:type="gramEnd"/>
      <w:r w:rsidRPr="00596CC2">
        <w:rPr>
          <w:sz w:val="20"/>
          <w:szCs w:val="20"/>
        </w:rPr>
        <w:t xml:space="preserve"> Large forest fires in Canada, 1959-1997. Journal of Geophysical Research 107: 8149 doi</w:t>
      </w:r>
      <w:proofErr w:type="gramStart"/>
      <w:r w:rsidRPr="00596CC2">
        <w:rPr>
          <w:sz w:val="20"/>
          <w:szCs w:val="20"/>
        </w:rPr>
        <w:t>:10.1029</w:t>
      </w:r>
      <w:proofErr w:type="gramEnd"/>
      <w:r w:rsidRPr="00596CC2">
        <w:rPr>
          <w:sz w:val="20"/>
          <w:szCs w:val="20"/>
        </w:rPr>
        <w:t>/2001JD000494.</w:t>
      </w:r>
    </w:p>
    <w:p w:rsidR="008222D9" w:rsidRDefault="008222D9" w:rsidP="00F724E7">
      <w:pPr>
        <w:pStyle w:val="References"/>
        <w:numPr>
          <w:ilvl w:val="12"/>
          <w:numId w:val="0"/>
        </w:numPr>
        <w:spacing w:after="60"/>
        <w:ind w:left="187" w:hanging="187"/>
      </w:pPr>
      <w:proofErr w:type="gramStart"/>
      <w:r>
        <w:t>Strong, W.; Leggat, K.R. 1992.</w:t>
      </w:r>
      <w:proofErr w:type="gramEnd"/>
      <w:r>
        <w:t xml:space="preserve"> </w:t>
      </w:r>
      <w:proofErr w:type="gramStart"/>
      <w:r>
        <w:t>Ecoregions of Alberta.</w:t>
      </w:r>
      <w:proofErr w:type="gramEnd"/>
      <w:r>
        <w:t xml:space="preserve"> </w:t>
      </w:r>
      <w:proofErr w:type="gramStart"/>
      <w:r>
        <w:t>Prepared for Alberta Forestry, Lands and Wildlife, Land Information Services Division, Resource Information Branch.</w:t>
      </w:r>
      <w:proofErr w:type="gramEnd"/>
      <w:r>
        <w:t xml:space="preserve"> Publication Number T</w:t>
      </w:r>
      <w:proofErr w:type="gramStart"/>
      <w:r>
        <w:t>:245</w:t>
      </w:r>
      <w:proofErr w:type="gramEnd"/>
      <w:r>
        <w:t>.</w:t>
      </w:r>
    </w:p>
    <w:p w:rsidR="008222D9" w:rsidRPr="00596CC2" w:rsidRDefault="008222D9" w:rsidP="00F724E7">
      <w:pPr>
        <w:spacing w:after="60"/>
        <w:ind w:left="284" w:hanging="284"/>
        <w:rPr>
          <w:sz w:val="20"/>
          <w:szCs w:val="20"/>
        </w:rPr>
      </w:pPr>
      <w:r w:rsidRPr="00596CC2">
        <w:rPr>
          <w:sz w:val="20"/>
          <w:szCs w:val="20"/>
        </w:rPr>
        <w:t xml:space="preserve">Sullivan, M. 2006. </w:t>
      </w:r>
      <w:proofErr w:type="gramStart"/>
      <w:r w:rsidRPr="00596CC2">
        <w:rPr>
          <w:sz w:val="20"/>
          <w:szCs w:val="20"/>
        </w:rPr>
        <w:t>CEMA INFI Indicator Criteria.</w:t>
      </w:r>
      <w:proofErr w:type="gramEnd"/>
      <w:r w:rsidRPr="00596CC2">
        <w:rPr>
          <w:sz w:val="20"/>
          <w:szCs w:val="20"/>
        </w:rPr>
        <w:t xml:space="preserve"> </w:t>
      </w:r>
      <w:proofErr w:type="gramStart"/>
      <w:r w:rsidRPr="00596CC2">
        <w:rPr>
          <w:sz w:val="20"/>
          <w:szCs w:val="20"/>
        </w:rPr>
        <w:t>Presentation to CEMA SEWG.</w:t>
      </w:r>
      <w:proofErr w:type="gramEnd"/>
    </w:p>
    <w:p w:rsidR="008222D9" w:rsidRDefault="008222D9" w:rsidP="00F724E7">
      <w:pPr>
        <w:pStyle w:val="References"/>
        <w:numPr>
          <w:ilvl w:val="12"/>
          <w:numId w:val="0"/>
        </w:numPr>
        <w:spacing w:after="60"/>
        <w:ind w:left="187" w:hanging="187"/>
      </w:pPr>
      <w:proofErr w:type="gramStart"/>
      <w:r>
        <w:t>Swan, J.M.A.; Dix R.L. 1966.</w:t>
      </w:r>
      <w:proofErr w:type="gramEnd"/>
      <w:r>
        <w:t xml:space="preserve"> </w:t>
      </w:r>
      <w:proofErr w:type="gramStart"/>
      <w:r>
        <w:t>The phytosociological structure of upland forest at Candle Lake, Saskatchewan.</w:t>
      </w:r>
      <w:proofErr w:type="gramEnd"/>
      <w:r>
        <w:t xml:space="preserve"> Journal of Ecology 54:13–40.</w:t>
      </w:r>
    </w:p>
    <w:p w:rsidR="008222D9" w:rsidRPr="00596CC2" w:rsidRDefault="008222D9" w:rsidP="00F724E7">
      <w:pPr>
        <w:spacing w:after="60"/>
        <w:ind w:left="284" w:hanging="284"/>
        <w:rPr>
          <w:sz w:val="20"/>
          <w:szCs w:val="20"/>
        </w:rPr>
      </w:pPr>
      <w:r w:rsidRPr="00596CC2">
        <w:rPr>
          <w:sz w:val="20"/>
          <w:szCs w:val="20"/>
        </w:rPr>
        <w:t xml:space="preserve">Tarnocai, C. 2006. </w:t>
      </w:r>
      <w:proofErr w:type="gramStart"/>
      <w:r w:rsidRPr="00596CC2">
        <w:rPr>
          <w:sz w:val="20"/>
          <w:szCs w:val="20"/>
        </w:rPr>
        <w:t>The effect of climate change on carbon in Canadian peatlands.</w:t>
      </w:r>
      <w:proofErr w:type="gramEnd"/>
      <w:r w:rsidRPr="00596CC2">
        <w:rPr>
          <w:sz w:val="20"/>
          <w:szCs w:val="20"/>
        </w:rPr>
        <w:t xml:space="preserve"> </w:t>
      </w:r>
      <w:proofErr w:type="gramStart"/>
      <w:r w:rsidRPr="00596CC2">
        <w:rPr>
          <w:sz w:val="20"/>
          <w:szCs w:val="20"/>
        </w:rPr>
        <w:t>Global Planet.</w:t>
      </w:r>
      <w:proofErr w:type="gramEnd"/>
      <w:r w:rsidRPr="00596CC2">
        <w:rPr>
          <w:sz w:val="20"/>
          <w:szCs w:val="20"/>
        </w:rPr>
        <w:t xml:space="preserve"> Change 53:222-232.</w:t>
      </w:r>
    </w:p>
    <w:p w:rsidR="008222D9" w:rsidRDefault="008222D9" w:rsidP="00F724E7">
      <w:pPr>
        <w:pStyle w:val="References"/>
        <w:numPr>
          <w:ilvl w:val="12"/>
          <w:numId w:val="0"/>
        </w:numPr>
        <w:spacing w:after="60"/>
        <w:ind w:left="187" w:hanging="187"/>
      </w:pPr>
      <w:r>
        <w:t xml:space="preserve">Thomas, J.W. (editor) 1979. </w:t>
      </w:r>
      <w:proofErr w:type="gramStart"/>
      <w:r>
        <w:t>Wildlife habitat in managed forests.</w:t>
      </w:r>
      <w:proofErr w:type="gramEnd"/>
      <w:r>
        <w:t xml:space="preserve"> </w:t>
      </w:r>
      <w:proofErr w:type="gramStart"/>
      <w:r>
        <w:t>The Blue Mountains of Oregon and Washington.</w:t>
      </w:r>
      <w:proofErr w:type="gramEnd"/>
      <w:r>
        <w:t xml:space="preserve"> </w:t>
      </w:r>
      <w:proofErr w:type="gramStart"/>
      <w:r>
        <w:t>Agricultural Handbook No. 553.</w:t>
      </w:r>
      <w:proofErr w:type="gramEnd"/>
      <w:r>
        <w:t xml:space="preserve"> </w:t>
      </w:r>
      <w:proofErr w:type="gramStart"/>
      <w:r>
        <w:t>Department of Agriculture, Forest Service, Washington, D.C.</w:t>
      </w:r>
      <w:proofErr w:type="gramEnd"/>
    </w:p>
    <w:p w:rsidR="008222D9" w:rsidRDefault="008222D9" w:rsidP="00F724E7">
      <w:pPr>
        <w:pStyle w:val="References"/>
        <w:numPr>
          <w:ilvl w:val="12"/>
          <w:numId w:val="0"/>
        </w:numPr>
        <w:spacing w:after="60"/>
        <w:ind w:left="187" w:hanging="187"/>
      </w:pPr>
      <w:r>
        <w:t xml:space="preserve">Thomas, J.W. (editor) 1993. Forest ecosystem management: an ecological, economic, and social assessment. </w:t>
      </w:r>
      <w:proofErr w:type="gramStart"/>
      <w:r>
        <w:t>Report of the Forest Ecosystem Management Assessment Team.</w:t>
      </w:r>
      <w:proofErr w:type="gramEnd"/>
      <w:r>
        <w:t xml:space="preserve"> </w:t>
      </w:r>
      <w:proofErr w:type="gramStart"/>
      <w:r>
        <w:t>U.S. Department of Agriculture, Forest Service.</w:t>
      </w:r>
      <w:proofErr w:type="gramEnd"/>
    </w:p>
    <w:p w:rsidR="008222D9" w:rsidRPr="00596CC2" w:rsidRDefault="008222D9" w:rsidP="00F724E7">
      <w:pPr>
        <w:spacing w:after="60"/>
        <w:ind w:left="284" w:hanging="284"/>
        <w:rPr>
          <w:sz w:val="20"/>
          <w:szCs w:val="20"/>
        </w:rPr>
      </w:pPr>
      <w:proofErr w:type="gramStart"/>
      <w:r w:rsidRPr="00596CC2">
        <w:rPr>
          <w:sz w:val="20"/>
          <w:szCs w:val="20"/>
        </w:rPr>
        <w:t>Thomson, N. and A. Shaw.</w:t>
      </w:r>
      <w:proofErr w:type="gramEnd"/>
      <w:r w:rsidRPr="00596CC2">
        <w:rPr>
          <w:sz w:val="20"/>
          <w:szCs w:val="20"/>
        </w:rPr>
        <w:t xml:space="preserve"> 2011. Fracking in BC: Integrating Climate Change Issues.  </w:t>
      </w:r>
      <w:proofErr w:type="gramStart"/>
      <w:r w:rsidRPr="00596CC2">
        <w:rPr>
          <w:sz w:val="20"/>
          <w:szCs w:val="20"/>
        </w:rPr>
        <w:t>Pacific Institute for Climate Solutions Briefing Note 2011-29.</w:t>
      </w:r>
      <w:proofErr w:type="gramEnd"/>
    </w:p>
    <w:p w:rsidR="008222D9" w:rsidRPr="00596CC2" w:rsidRDefault="008222D9" w:rsidP="00F724E7">
      <w:pPr>
        <w:spacing w:after="60"/>
        <w:ind w:left="284" w:hanging="284"/>
        <w:rPr>
          <w:sz w:val="20"/>
          <w:szCs w:val="20"/>
        </w:rPr>
      </w:pPr>
      <w:proofErr w:type="gramStart"/>
      <w:r w:rsidRPr="00596CC2">
        <w:rPr>
          <w:sz w:val="20"/>
          <w:szCs w:val="20"/>
        </w:rPr>
        <w:t>Timilsina, G.R., N. LeBlanc, and T. Walden.</w:t>
      </w:r>
      <w:proofErr w:type="gramEnd"/>
      <w:r w:rsidRPr="00596CC2">
        <w:rPr>
          <w:sz w:val="20"/>
          <w:szCs w:val="20"/>
        </w:rPr>
        <w:t xml:space="preserve"> 2005. Economic Impacts of Alberta’s Oilsands. </w:t>
      </w:r>
      <w:proofErr w:type="gramStart"/>
      <w:r w:rsidRPr="00596CC2">
        <w:rPr>
          <w:sz w:val="20"/>
          <w:szCs w:val="20"/>
        </w:rPr>
        <w:t>Canadian Energy Research Institute, Calgary, AB.</w:t>
      </w:r>
      <w:proofErr w:type="gramEnd"/>
    </w:p>
    <w:p w:rsidR="008222D9" w:rsidRPr="00596CC2" w:rsidRDefault="008222D9" w:rsidP="00F724E7">
      <w:pPr>
        <w:spacing w:after="60"/>
        <w:ind w:left="284" w:hanging="284"/>
        <w:rPr>
          <w:sz w:val="20"/>
          <w:szCs w:val="20"/>
        </w:rPr>
      </w:pPr>
      <w:proofErr w:type="gramStart"/>
      <w:r w:rsidRPr="00596CC2">
        <w:rPr>
          <w:sz w:val="20"/>
          <w:szCs w:val="20"/>
        </w:rPr>
        <w:t>Tolko High Level Lumber Division and Footner Forest Products Ltd. 2003.</w:t>
      </w:r>
      <w:proofErr w:type="gramEnd"/>
      <w:r w:rsidRPr="00596CC2">
        <w:rPr>
          <w:sz w:val="20"/>
          <w:szCs w:val="20"/>
        </w:rPr>
        <w:t xml:space="preserve"> </w:t>
      </w:r>
      <w:proofErr w:type="gramStart"/>
      <w:r w:rsidRPr="00596CC2">
        <w:rPr>
          <w:sz w:val="20"/>
          <w:szCs w:val="20"/>
        </w:rPr>
        <w:t>Integrated Detailed Forest Management Plan.</w:t>
      </w:r>
      <w:proofErr w:type="gramEnd"/>
    </w:p>
    <w:p w:rsidR="008222D9" w:rsidRPr="00596CC2" w:rsidRDefault="008222D9" w:rsidP="00F724E7">
      <w:pPr>
        <w:spacing w:after="60"/>
        <w:ind w:left="284" w:hanging="284"/>
        <w:rPr>
          <w:sz w:val="20"/>
          <w:szCs w:val="20"/>
        </w:rPr>
      </w:pPr>
      <w:proofErr w:type="gramStart"/>
      <w:r w:rsidRPr="00596CC2">
        <w:rPr>
          <w:sz w:val="20"/>
          <w:szCs w:val="20"/>
        </w:rPr>
        <w:t>TransCanada.</w:t>
      </w:r>
      <w:proofErr w:type="gramEnd"/>
      <w:r w:rsidRPr="00596CC2">
        <w:rPr>
          <w:sz w:val="20"/>
          <w:szCs w:val="20"/>
        </w:rPr>
        <w:t xml:space="preserve"> 2011. National Energy Board Approves Horn River Pipeline Project B.C. Shale Gas Production Projected to Rise Significantly. </w:t>
      </w:r>
      <w:proofErr w:type="gramStart"/>
      <w:r w:rsidRPr="00596CC2">
        <w:rPr>
          <w:sz w:val="20"/>
          <w:szCs w:val="20"/>
        </w:rPr>
        <w:t>February 4 2011 News Release.</w:t>
      </w:r>
      <w:proofErr w:type="gramEnd"/>
      <w:r w:rsidRPr="00596CC2">
        <w:rPr>
          <w:sz w:val="20"/>
          <w:szCs w:val="20"/>
        </w:rPr>
        <w:t xml:space="preserve"> Available online: http://www.transcanada.com/5639.html.</w:t>
      </w:r>
    </w:p>
    <w:p w:rsidR="008222D9" w:rsidRPr="00596CC2" w:rsidRDefault="008222D9" w:rsidP="00F724E7">
      <w:pPr>
        <w:spacing w:after="60"/>
        <w:ind w:left="284" w:hanging="284"/>
        <w:rPr>
          <w:sz w:val="20"/>
          <w:szCs w:val="20"/>
        </w:rPr>
      </w:pPr>
      <w:proofErr w:type="gramStart"/>
      <w:r w:rsidRPr="00596CC2">
        <w:rPr>
          <w:sz w:val="20"/>
          <w:szCs w:val="20"/>
        </w:rPr>
        <w:t>Turetsky, M., and V. St. Louis.</w:t>
      </w:r>
      <w:proofErr w:type="gramEnd"/>
      <w:r w:rsidRPr="00596CC2">
        <w:rPr>
          <w:sz w:val="20"/>
          <w:szCs w:val="20"/>
        </w:rPr>
        <w:t xml:space="preserve"> 2006. Disturbance in boreal peatlands. Ecological Studies 188: 359-379.</w:t>
      </w:r>
    </w:p>
    <w:p w:rsidR="008222D9" w:rsidRPr="00596CC2" w:rsidRDefault="008222D9" w:rsidP="00F724E7">
      <w:pPr>
        <w:spacing w:after="60"/>
        <w:ind w:left="284" w:hanging="284"/>
        <w:rPr>
          <w:sz w:val="20"/>
          <w:szCs w:val="20"/>
        </w:rPr>
      </w:pPr>
      <w:proofErr w:type="gramStart"/>
      <w:r w:rsidRPr="00596CC2">
        <w:rPr>
          <w:sz w:val="20"/>
          <w:szCs w:val="20"/>
        </w:rPr>
        <w:t>Turetsky, M., K. Wieder, L. Halsey, and D. Vitt.</w:t>
      </w:r>
      <w:proofErr w:type="gramEnd"/>
      <w:r w:rsidRPr="00596CC2">
        <w:rPr>
          <w:sz w:val="20"/>
          <w:szCs w:val="20"/>
        </w:rPr>
        <w:t xml:space="preserve"> 2002. Current disturbance and the diminishing peatland carbon sink. Geophysical Research Letters 29(11). </w:t>
      </w:r>
    </w:p>
    <w:p w:rsidR="008222D9" w:rsidRPr="00596CC2" w:rsidRDefault="008222D9" w:rsidP="00F724E7">
      <w:pPr>
        <w:spacing w:after="60"/>
        <w:ind w:left="284" w:hanging="284"/>
        <w:rPr>
          <w:sz w:val="20"/>
          <w:szCs w:val="20"/>
        </w:rPr>
      </w:pPr>
      <w:r w:rsidRPr="00596CC2">
        <w:rPr>
          <w:sz w:val="20"/>
          <w:szCs w:val="20"/>
        </w:rPr>
        <w:t xml:space="preserve">Turunen, J. 2008. </w:t>
      </w:r>
      <w:proofErr w:type="gramStart"/>
      <w:r w:rsidRPr="00596CC2">
        <w:rPr>
          <w:sz w:val="20"/>
          <w:szCs w:val="20"/>
        </w:rPr>
        <w:t>Development of Finnish peatland area and carbon storage 1950-2000.</w:t>
      </w:r>
      <w:proofErr w:type="gramEnd"/>
      <w:r w:rsidRPr="00596CC2">
        <w:rPr>
          <w:sz w:val="20"/>
          <w:szCs w:val="20"/>
        </w:rPr>
        <w:t xml:space="preserve"> Boreal Environment Research 13:319-334.</w:t>
      </w:r>
    </w:p>
    <w:p w:rsidR="008222D9" w:rsidRPr="00596CC2" w:rsidRDefault="008222D9" w:rsidP="00F724E7">
      <w:pPr>
        <w:spacing w:after="60"/>
        <w:ind w:left="284" w:hanging="284"/>
        <w:rPr>
          <w:sz w:val="20"/>
          <w:szCs w:val="20"/>
        </w:rPr>
      </w:pPr>
      <w:proofErr w:type="gramStart"/>
      <w:r w:rsidRPr="00596CC2">
        <w:rPr>
          <w:sz w:val="20"/>
          <w:szCs w:val="20"/>
        </w:rPr>
        <w:t>Upton, B., R. Miner, and K. Vice.</w:t>
      </w:r>
      <w:proofErr w:type="gramEnd"/>
      <w:r w:rsidRPr="00596CC2">
        <w:rPr>
          <w:sz w:val="20"/>
          <w:szCs w:val="20"/>
        </w:rPr>
        <w:t xml:space="preserve"> 2007. The Greenhouse Gas and Carbon Profile of the Canadian Forest Products Industry. Special Report No. 07-09. </w:t>
      </w:r>
      <w:proofErr w:type="gramStart"/>
      <w:r w:rsidRPr="00596CC2">
        <w:rPr>
          <w:sz w:val="20"/>
          <w:szCs w:val="20"/>
        </w:rPr>
        <w:t>National Council for Air and Stream Improvement, Inc., Research Triangle Park, NC.</w:t>
      </w:r>
      <w:proofErr w:type="gramEnd"/>
    </w:p>
    <w:p w:rsidR="008222D9" w:rsidRDefault="008222D9" w:rsidP="00F724E7">
      <w:pPr>
        <w:pStyle w:val="References"/>
        <w:numPr>
          <w:ilvl w:val="12"/>
          <w:numId w:val="0"/>
        </w:numPr>
        <w:spacing w:after="60"/>
        <w:ind w:left="187" w:hanging="187"/>
      </w:pPr>
      <w:r>
        <w:t xml:space="preserve">Van Horne, B. 1983. </w:t>
      </w:r>
      <w:proofErr w:type="gramStart"/>
      <w:r>
        <w:t>Density as a misleading indicator of habitat quality.</w:t>
      </w:r>
      <w:proofErr w:type="gramEnd"/>
      <w:r>
        <w:t xml:space="preserve"> Journal of Wildlife Management 47:893–901.</w:t>
      </w:r>
    </w:p>
    <w:p w:rsidR="008222D9" w:rsidRPr="00596CC2" w:rsidRDefault="008222D9" w:rsidP="00F724E7">
      <w:pPr>
        <w:spacing w:after="60"/>
        <w:ind w:left="284" w:hanging="284"/>
        <w:rPr>
          <w:sz w:val="20"/>
          <w:szCs w:val="20"/>
        </w:rPr>
      </w:pPr>
      <w:r w:rsidRPr="00596CC2">
        <w:rPr>
          <w:sz w:val="20"/>
          <w:szCs w:val="20"/>
        </w:rPr>
        <w:t>Van Wanger, C.E. 1978. Age-class distribution and the forest fire cycle. Canadian Journal of Forest Research 8: 220-227.</w:t>
      </w:r>
    </w:p>
    <w:p w:rsidR="008222D9" w:rsidRPr="00596CC2" w:rsidRDefault="008222D9" w:rsidP="00F724E7">
      <w:pPr>
        <w:spacing w:after="60"/>
        <w:ind w:left="284" w:hanging="284"/>
        <w:rPr>
          <w:sz w:val="20"/>
          <w:szCs w:val="20"/>
        </w:rPr>
      </w:pPr>
      <w:proofErr w:type="gramStart"/>
      <w:r w:rsidRPr="00596CC2">
        <w:rPr>
          <w:sz w:val="20"/>
          <w:szCs w:val="20"/>
        </w:rPr>
        <w:t>Vitt, D. H., L. A. Halsey, I. E. Bauer, and c. Campbell.</w:t>
      </w:r>
      <w:proofErr w:type="gramEnd"/>
      <w:r w:rsidRPr="00596CC2">
        <w:rPr>
          <w:sz w:val="20"/>
          <w:szCs w:val="20"/>
        </w:rPr>
        <w:t xml:space="preserve"> 2000. Spatial and temporal trends in carbon storage of peatlands of continental western Canada through the Holocene. Canadian Journal of Earth Sciences 37: 683-693.</w:t>
      </w:r>
    </w:p>
    <w:p w:rsidR="008222D9" w:rsidRDefault="008222D9" w:rsidP="00F724E7">
      <w:pPr>
        <w:pStyle w:val="References"/>
        <w:numPr>
          <w:ilvl w:val="12"/>
          <w:numId w:val="0"/>
        </w:numPr>
        <w:spacing w:after="60"/>
        <w:ind w:left="187" w:hanging="187"/>
      </w:pPr>
      <w:proofErr w:type="gramStart"/>
      <w:r>
        <w:t>Westworth D.A.; Brusnyk, L.M.; Burns, G.R. 1984.</w:t>
      </w:r>
      <w:proofErr w:type="gramEnd"/>
      <w:r>
        <w:t xml:space="preserve"> </w:t>
      </w:r>
      <w:proofErr w:type="gramStart"/>
      <w:r>
        <w:t>Impact on wildlife of short-rotation management of boreal aspen stands.</w:t>
      </w:r>
      <w:proofErr w:type="gramEnd"/>
      <w:r>
        <w:t xml:space="preserve"> </w:t>
      </w:r>
      <w:proofErr w:type="gramStart"/>
      <w:r>
        <w:t>D.A. Westworth and Associates Ltd. Edmonton, AB. 134 pp.</w:t>
      </w:r>
      <w:proofErr w:type="gramEnd"/>
    </w:p>
    <w:p w:rsidR="008222D9" w:rsidRDefault="008222D9" w:rsidP="00F724E7">
      <w:pPr>
        <w:pStyle w:val="References"/>
        <w:numPr>
          <w:ilvl w:val="12"/>
          <w:numId w:val="0"/>
        </w:numPr>
        <w:spacing w:after="60"/>
        <w:ind w:left="187" w:hanging="187"/>
      </w:pPr>
      <w:proofErr w:type="gramStart"/>
      <w:r>
        <w:t>Westworth, D.A.; Telfer, E.S. 1993.</w:t>
      </w:r>
      <w:proofErr w:type="gramEnd"/>
      <w:r>
        <w:t xml:space="preserve"> Summer and winter bird populations associated with five age-classes of aspen forests in Alberta. Canadian Journal of Forest Research 23:1830–1836.</w:t>
      </w:r>
    </w:p>
    <w:p w:rsidR="008222D9" w:rsidRPr="00596CC2" w:rsidRDefault="008222D9" w:rsidP="00F724E7">
      <w:pPr>
        <w:spacing w:after="60"/>
        <w:ind w:left="284" w:hanging="284"/>
        <w:rPr>
          <w:sz w:val="20"/>
          <w:szCs w:val="20"/>
        </w:rPr>
      </w:pPr>
      <w:proofErr w:type="gramStart"/>
      <w:r w:rsidRPr="00596CC2">
        <w:rPr>
          <w:sz w:val="20"/>
          <w:szCs w:val="20"/>
        </w:rPr>
        <w:t>Wiken, E., J. Cinq-Mars, M. Padilla, and C. Latsch.</w:t>
      </w:r>
      <w:proofErr w:type="gramEnd"/>
      <w:r w:rsidRPr="00596CC2">
        <w:rPr>
          <w:sz w:val="20"/>
          <w:szCs w:val="20"/>
        </w:rPr>
        <w:t xml:space="preserve"> 2003. The state of Canadian wetlands: Building a conservation strategy. In: C. D. A. Rubec (ed.), Wetland Stewardship in Canada: Contributed Papers from </w:t>
      </w:r>
      <w:r w:rsidRPr="00596CC2">
        <w:rPr>
          <w:sz w:val="20"/>
          <w:szCs w:val="20"/>
        </w:rPr>
        <w:lastRenderedPageBreak/>
        <w:t xml:space="preserve">the Conference on Canadian Wetlands Stewardship, Feb 3-5 2003, Ottawa, ON. </w:t>
      </w:r>
      <w:proofErr w:type="gramStart"/>
      <w:r w:rsidRPr="00596CC2">
        <w:rPr>
          <w:sz w:val="20"/>
          <w:szCs w:val="20"/>
        </w:rPr>
        <w:t>North American Wetlands Conservation Council Canada.</w:t>
      </w:r>
      <w:proofErr w:type="gramEnd"/>
    </w:p>
    <w:p w:rsidR="008222D9" w:rsidRPr="00596CC2" w:rsidRDefault="008222D9" w:rsidP="00F724E7">
      <w:pPr>
        <w:spacing w:after="60"/>
        <w:ind w:left="284" w:hanging="284"/>
        <w:rPr>
          <w:sz w:val="20"/>
          <w:szCs w:val="20"/>
        </w:rPr>
      </w:pPr>
      <w:proofErr w:type="gramStart"/>
      <w:r w:rsidRPr="00596CC2">
        <w:rPr>
          <w:sz w:val="20"/>
          <w:szCs w:val="20"/>
        </w:rPr>
        <w:t>Willis, J. Evolving water use regulations in British Columbia’s Emerging Shale Gas Regions.</w:t>
      </w:r>
      <w:proofErr w:type="gramEnd"/>
      <w:r w:rsidRPr="00596CC2">
        <w:rPr>
          <w:sz w:val="20"/>
          <w:szCs w:val="20"/>
        </w:rPr>
        <w:t xml:space="preserve"> </w:t>
      </w:r>
      <w:proofErr w:type="gramStart"/>
      <w:r w:rsidRPr="00596CC2">
        <w:rPr>
          <w:sz w:val="20"/>
          <w:szCs w:val="20"/>
        </w:rPr>
        <w:t>Presentation at WaterTech 2011, April 13-15 2011 Banff, Alberta.</w:t>
      </w:r>
      <w:proofErr w:type="gramEnd"/>
      <w:r w:rsidRPr="00596CC2">
        <w:rPr>
          <w:sz w:val="20"/>
          <w:szCs w:val="20"/>
        </w:rPr>
        <w:t xml:space="preserve"> </w:t>
      </w:r>
      <w:proofErr w:type="gramStart"/>
      <w:r w:rsidRPr="00596CC2">
        <w:rPr>
          <w:sz w:val="20"/>
          <w:szCs w:val="20"/>
        </w:rPr>
        <w:t>Environmental Services Association of Alberta.</w:t>
      </w:r>
      <w:proofErr w:type="gramEnd"/>
      <w:r w:rsidRPr="00596CC2">
        <w:rPr>
          <w:sz w:val="20"/>
          <w:szCs w:val="20"/>
        </w:rPr>
        <w:t xml:space="preserve"> Available online: http://www.esaa-events.com/watertech/2011/default.htm.</w:t>
      </w:r>
    </w:p>
    <w:p w:rsidR="008222D9" w:rsidRPr="00596CC2" w:rsidRDefault="008222D9" w:rsidP="00F724E7">
      <w:pPr>
        <w:spacing w:after="60"/>
        <w:ind w:left="284" w:hanging="284"/>
        <w:rPr>
          <w:sz w:val="20"/>
          <w:szCs w:val="20"/>
        </w:rPr>
      </w:pPr>
      <w:proofErr w:type="gramStart"/>
      <w:r w:rsidRPr="00596CC2">
        <w:rPr>
          <w:sz w:val="20"/>
          <w:szCs w:val="20"/>
        </w:rPr>
        <w:t>Wilson, B., J. B. Stelfox, and M. Patriquin.</w:t>
      </w:r>
      <w:proofErr w:type="gramEnd"/>
      <w:r w:rsidRPr="00596CC2">
        <w:rPr>
          <w:sz w:val="20"/>
          <w:szCs w:val="20"/>
        </w:rPr>
        <w:t xml:space="preserve"> 2008. SEWG Workplan Facilitation and Modelling Project: Data Inputs and Assumptions. Unpublished report prepared for the Cumulative Effects Management Association. Available online: www.cemaonline.ca.</w:t>
      </w:r>
    </w:p>
    <w:p w:rsidR="008222D9" w:rsidRDefault="008222D9" w:rsidP="00F724E7">
      <w:pPr>
        <w:pStyle w:val="References"/>
        <w:numPr>
          <w:ilvl w:val="12"/>
          <w:numId w:val="0"/>
        </w:numPr>
        <w:spacing w:after="60"/>
        <w:ind w:left="187" w:hanging="187"/>
      </w:pPr>
      <w:r>
        <w:t xml:space="preserve">Wilson, E.O. 1992. </w:t>
      </w:r>
      <w:proofErr w:type="gramStart"/>
      <w:r>
        <w:t>The diversity of life.</w:t>
      </w:r>
      <w:proofErr w:type="gramEnd"/>
      <w:r>
        <w:t xml:space="preserve"> </w:t>
      </w:r>
      <w:proofErr w:type="gramStart"/>
      <w:r>
        <w:t>The Belknap Press of Harvard University Press, Cambridge, MA.</w:t>
      </w:r>
      <w:proofErr w:type="gramEnd"/>
    </w:p>
    <w:p w:rsidR="008222D9" w:rsidRDefault="008222D9" w:rsidP="00F724E7">
      <w:pPr>
        <w:pStyle w:val="References"/>
        <w:numPr>
          <w:ilvl w:val="12"/>
          <w:numId w:val="0"/>
        </w:numPr>
        <w:spacing w:after="60"/>
        <w:ind w:left="187" w:hanging="187"/>
      </w:pPr>
      <w:r>
        <w:t>Young, J. 1993. Alberta-Pacific’s bleached kraft market pulp mill sets for startup. Pulp &amp; Paper July</w:t>
      </w:r>
      <w:proofErr w:type="gramStart"/>
      <w:r>
        <w:t>:67</w:t>
      </w:r>
      <w:proofErr w:type="gramEnd"/>
      <w:r>
        <w:t>–75.</w:t>
      </w:r>
    </w:p>
    <w:p w:rsidR="00596CC2" w:rsidRPr="00B24855" w:rsidRDefault="00596CC2" w:rsidP="00B24855">
      <w:pPr>
        <w:pStyle w:val="Citation"/>
        <w:spacing w:after="60"/>
        <w:ind w:left="198" w:hanging="198"/>
        <w:rPr>
          <w:sz w:val="20"/>
        </w:rPr>
      </w:pPr>
    </w:p>
    <w:p w:rsidR="00B24855" w:rsidRDefault="00B24855" w:rsidP="002953CB">
      <w:pPr>
        <w:pStyle w:val="References"/>
        <w:numPr>
          <w:ilvl w:val="12"/>
          <w:numId w:val="0"/>
        </w:numPr>
        <w:ind w:left="187" w:hanging="187"/>
      </w:pPr>
    </w:p>
    <w:p w:rsidR="009E6DB7" w:rsidRDefault="009E6DB7">
      <w:pPr>
        <w:spacing w:after="200" w:line="276" w:lineRule="auto"/>
        <w:rPr>
          <w:rFonts w:ascii="Arial" w:hAnsi="Arial"/>
          <w:b/>
          <w:caps/>
          <w:kern w:val="28"/>
          <w:sz w:val="28"/>
          <w:highlight w:val="lightGray"/>
          <w:lang w:val="en-US"/>
        </w:rPr>
      </w:pPr>
      <w:r>
        <w:rPr>
          <w:highlight w:val="lightGray"/>
        </w:rPr>
        <w:br w:type="page"/>
      </w:r>
    </w:p>
    <w:p w:rsidR="004A6EA6" w:rsidRDefault="005B61FA" w:rsidP="009E6DB7">
      <w:pPr>
        <w:pStyle w:val="Heading1"/>
        <w:numPr>
          <w:ilvl w:val="0"/>
          <w:numId w:val="0"/>
        </w:numPr>
      </w:pPr>
      <w:bookmarkStart w:id="547" w:name="_Toc338703762"/>
      <w:r>
        <w:lastRenderedPageBreak/>
        <w:t>Appendices</w:t>
      </w:r>
      <w:bookmarkEnd w:id="547"/>
    </w:p>
    <w:p w:rsidR="007540CE" w:rsidRDefault="001009B5" w:rsidP="004A6EA6">
      <w:pPr>
        <w:pStyle w:val="Heading2"/>
      </w:pPr>
      <w:bookmarkStart w:id="548" w:name="_Toc338703763"/>
      <w:r>
        <w:t xml:space="preserve">Appendix A. </w:t>
      </w:r>
      <w:r w:rsidR="008627F1">
        <w:t>CLFN A</w:t>
      </w:r>
      <w:r w:rsidR="007540CE">
        <w:t>LCES Technical Manual</w:t>
      </w:r>
      <w:bookmarkEnd w:id="548"/>
    </w:p>
    <w:p w:rsidR="007540CE" w:rsidRPr="007540CE" w:rsidRDefault="007540CE" w:rsidP="007540CE">
      <w:pPr>
        <w:pStyle w:val="BodyText"/>
        <w:rPr>
          <w:lang w:val="en-US"/>
        </w:rPr>
      </w:pPr>
      <w:r>
        <w:rPr>
          <w:lang w:val="en-US"/>
        </w:rPr>
        <w:t>This appendix is lengthy and is provided as a separate document.</w:t>
      </w:r>
    </w:p>
    <w:p w:rsidR="006C02CB" w:rsidRDefault="006C02CB">
      <w:pPr>
        <w:spacing w:after="200" w:line="276" w:lineRule="auto"/>
        <w:rPr>
          <w:rFonts w:ascii="Arial" w:hAnsi="Arial"/>
          <w:b/>
          <w:caps/>
          <w:kern w:val="28"/>
          <w:lang w:val="en-US"/>
        </w:rPr>
      </w:pPr>
      <w:r>
        <w:br w:type="page"/>
      </w:r>
    </w:p>
    <w:p w:rsidR="001F7033" w:rsidRPr="00D373C8" w:rsidRDefault="001009B5" w:rsidP="001F7033">
      <w:pPr>
        <w:pStyle w:val="Heading2"/>
        <w:rPr>
          <w:rFonts w:ascii="Times New Roman" w:hAnsi="Times New Roman"/>
        </w:rPr>
      </w:pPr>
      <w:bookmarkStart w:id="549" w:name="_Toc338703764"/>
      <w:r>
        <w:rPr>
          <w:rFonts w:ascii="Times New Roman" w:hAnsi="Times New Roman"/>
        </w:rPr>
        <w:lastRenderedPageBreak/>
        <w:t xml:space="preserve">Appendix B. </w:t>
      </w:r>
      <w:r w:rsidR="000326A0">
        <w:rPr>
          <w:rFonts w:ascii="Times New Roman" w:hAnsi="Times New Roman"/>
        </w:rPr>
        <w:t>Report on Hydrocarbon volumes and recovery factors for ALCES Cold Lake First Nations Project</w:t>
      </w:r>
      <w:bookmarkEnd w:id="549"/>
    </w:p>
    <w:p w:rsidR="006C02CB" w:rsidRPr="00D373C8" w:rsidRDefault="006C02CB" w:rsidP="006C02CB">
      <w:pPr>
        <w:jc w:val="center"/>
      </w:pPr>
    </w:p>
    <w:p w:rsidR="006C02CB" w:rsidRPr="00D373C8" w:rsidRDefault="000326A0" w:rsidP="006C02CB">
      <w:pPr>
        <w:spacing w:after="120"/>
        <w:jc w:val="center"/>
      </w:pPr>
      <w:r>
        <w:t xml:space="preserve">Report Preparation Overseen by Alex Lemmens of </w:t>
      </w:r>
    </w:p>
    <w:p w:rsidR="006C02CB" w:rsidRPr="00D373C8" w:rsidRDefault="006C02CB" w:rsidP="006C02CB">
      <w:pPr>
        <w:spacing w:after="120"/>
        <w:jc w:val="center"/>
        <w:rPr>
          <w:b/>
        </w:rPr>
      </w:pPr>
      <w:r w:rsidRPr="00D373C8">
        <w:rPr>
          <w:b/>
        </w:rPr>
        <w:t>Birchwood Resources Inc.</w:t>
      </w:r>
    </w:p>
    <w:p w:rsidR="006C02CB" w:rsidRPr="00D373C8" w:rsidRDefault="006C02CB" w:rsidP="00060E16">
      <w:pPr>
        <w:spacing w:after="120"/>
        <w:jc w:val="center"/>
      </w:pPr>
      <w:r w:rsidRPr="00D373C8">
        <w:t>1200, 630 6</w:t>
      </w:r>
      <w:r w:rsidRPr="00D373C8">
        <w:rPr>
          <w:vertAlign w:val="superscript"/>
        </w:rPr>
        <w:t>th</w:t>
      </w:r>
      <w:r w:rsidRPr="00D373C8">
        <w:t xml:space="preserve"> Ave SW</w:t>
      </w:r>
      <w:r w:rsidR="00060E16">
        <w:t xml:space="preserve">, </w:t>
      </w:r>
      <w:r w:rsidRPr="00D373C8">
        <w:t>Calgary, AB</w:t>
      </w:r>
    </w:p>
    <w:p w:rsidR="006C02CB" w:rsidRPr="00D373C8" w:rsidRDefault="006C02CB" w:rsidP="006C02CB">
      <w:pPr>
        <w:spacing w:after="120"/>
        <w:jc w:val="center"/>
      </w:pPr>
      <w:r w:rsidRPr="00D373C8">
        <w:t>Dated May 31</w:t>
      </w:r>
      <w:r w:rsidRPr="00D373C8">
        <w:rPr>
          <w:vertAlign w:val="superscript"/>
        </w:rPr>
        <w:t>st</w:t>
      </w:r>
      <w:r w:rsidRPr="00D373C8">
        <w:t xml:space="preserve"> 2012</w:t>
      </w:r>
    </w:p>
    <w:p w:rsidR="006C02CB" w:rsidRPr="00D373C8" w:rsidRDefault="006C02CB" w:rsidP="006C02CB">
      <w:pPr>
        <w:spacing w:after="120"/>
      </w:pPr>
    </w:p>
    <w:p w:rsidR="006C02CB" w:rsidRPr="00EE4ED6" w:rsidRDefault="006C02CB" w:rsidP="006C02CB">
      <w:pPr>
        <w:spacing w:after="120"/>
        <w:rPr>
          <w:sz w:val="28"/>
          <w:u w:val="single"/>
        </w:rPr>
      </w:pPr>
      <w:r w:rsidRPr="00EE4ED6">
        <w:rPr>
          <w:sz w:val="28"/>
          <w:u w:val="single"/>
        </w:rPr>
        <w:t>Table of Contents</w:t>
      </w:r>
    </w:p>
    <w:p w:rsidR="006C02CB" w:rsidRPr="00EE4ED6" w:rsidRDefault="006C02CB" w:rsidP="006C02CB">
      <w:pPr>
        <w:pStyle w:val="ListParagraph"/>
        <w:numPr>
          <w:ilvl w:val="0"/>
          <w:numId w:val="34"/>
        </w:numPr>
        <w:spacing w:after="120"/>
        <w:rPr>
          <w:rFonts w:ascii="Times New Roman" w:hAnsi="Times New Roman" w:cs="Times New Roman"/>
          <w:sz w:val="24"/>
        </w:rPr>
      </w:pPr>
      <w:r w:rsidRPr="00EE4ED6">
        <w:rPr>
          <w:rFonts w:ascii="Times New Roman" w:hAnsi="Times New Roman" w:cs="Times New Roman"/>
          <w:sz w:val="24"/>
        </w:rPr>
        <w:t>Introduction</w:t>
      </w:r>
    </w:p>
    <w:p w:rsidR="006C02CB" w:rsidRPr="00EE4ED6" w:rsidRDefault="006C02CB" w:rsidP="006C02CB">
      <w:pPr>
        <w:pStyle w:val="ListParagraph"/>
        <w:numPr>
          <w:ilvl w:val="0"/>
          <w:numId w:val="34"/>
        </w:numPr>
        <w:spacing w:after="120"/>
        <w:rPr>
          <w:rFonts w:ascii="Times New Roman" w:hAnsi="Times New Roman" w:cs="Times New Roman"/>
          <w:sz w:val="24"/>
        </w:rPr>
      </w:pPr>
      <w:r w:rsidRPr="00EE4ED6">
        <w:rPr>
          <w:rFonts w:ascii="Times New Roman" w:hAnsi="Times New Roman" w:cs="Times New Roman"/>
          <w:sz w:val="24"/>
        </w:rPr>
        <w:t>Scope</w:t>
      </w:r>
    </w:p>
    <w:p w:rsidR="006C02CB" w:rsidRPr="00EE4ED6" w:rsidRDefault="006C02CB" w:rsidP="006C02CB">
      <w:pPr>
        <w:pStyle w:val="ListParagraph"/>
        <w:numPr>
          <w:ilvl w:val="0"/>
          <w:numId w:val="34"/>
        </w:numPr>
        <w:spacing w:after="120"/>
        <w:rPr>
          <w:rFonts w:ascii="Times New Roman" w:hAnsi="Times New Roman" w:cs="Times New Roman"/>
          <w:sz w:val="24"/>
        </w:rPr>
      </w:pPr>
      <w:r w:rsidRPr="00EE4ED6">
        <w:rPr>
          <w:rFonts w:ascii="Times New Roman" w:hAnsi="Times New Roman" w:cs="Times New Roman"/>
          <w:sz w:val="24"/>
        </w:rPr>
        <w:t>Methodology and Sources of data</w:t>
      </w:r>
    </w:p>
    <w:p w:rsidR="006C02CB" w:rsidRPr="00EE4ED6" w:rsidRDefault="006C02CB" w:rsidP="006C02CB">
      <w:pPr>
        <w:pStyle w:val="ListParagraph"/>
        <w:numPr>
          <w:ilvl w:val="0"/>
          <w:numId w:val="34"/>
        </w:numPr>
        <w:spacing w:after="120"/>
        <w:rPr>
          <w:rFonts w:ascii="Times New Roman" w:hAnsi="Times New Roman" w:cs="Times New Roman"/>
          <w:sz w:val="24"/>
        </w:rPr>
      </w:pPr>
      <w:r w:rsidRPr="00EE4ED6">
        <w:rPr>
          <w:rFonts w:ascii="Times New Roman" w:hAnsi="Times New Roman" w:cs="Times New Roman"/>
          <w:sz w:val="24"/>
        </w:rPr>
        <w:t>Resource estimates</w:t>
      </w:r>
    </w:p>
    <w:p w:rsidR="006C02CB" w:rsidRPr="00EE4ED6" w:rsidRDefault="006C02CB" w:rsidP="006C02CB">
      <w:pPr>
        <w:pStyle w:val="ListParagraph"/>
        <w:numPr>
          <w:ilvl w:val="0"/>
          <w:numId w:val="34"/>
        </w:numPr>
        <w:spacing w:after="120"/>
        <w:rPr>
          <w:rFonts w:ascii="Times New Roman" w:hAnsi="Times New Roman" w:cs="Times New Roman"/>
          <w:sz w:val="24"/>
        </w:rPr>
      </w:pPr>
      <w:r w:rsidRPr="00EE4ED6">
        <w:rPr>
          <w:rFonts w:ascii="Times New Roman" w:hAnsi="Times New Roman" w:cs="Times New Roman"/>
          <w:sz w:val="24"/>
        </w:rPr>
        <w:t>Recovery Factors</w:t>
      </w:r>
    </w:p>
    <w:p w:rsidR="006C02CB" w:rsidRPr="00EE4ED6" w:rsidRDefault="006C02CB" w:rsidP="006C02CB">
      <w:pPr>
        <w:pStyle w:val="ListParagraph"/>
        <w:numPr>
          <w:ilvl w:val="0"/>
          <w:numId w:val="34"/>
        </w:numPr>
        <w:spacing w:after="120"/>
        <w:rPr>
          <w:rFonts w:ascii="Times New Roman" w:hAnsi="Times New Roman" w:cs="Times New Roman"/>
          <w:sz w:val="24"/>
        </w:rPr>
      </w:pPr>
      <w:r w:rsidRPr="00EE4ED6">
        <w:rPr>
          <w:rFonts w:ascii="Times New Roman" w:hAnsi="Times New Roman" w:cs="Times New Roman"/>
          <w:sz w:val="24"/>
        </w:rPr>
        <w:t>GOR</w:t>
      </w:r>
    </w:p>
    <w:p w:rsidR="006C02CB" w:rsidRPr="00EE4ED6" w:rsidRDefault="006C02CB" w:rsidP="006C02CB">
      <w:pPr>
        <w:pStyle w:val="ListParagraph"/>
        <w:numPr>
          <w:ilvl w:val="0"/>
          <w:numId w:val="34"/>
        </w:numPr>
        <w:spacing w:after="120"/>
        <w:rPr>
          <w:rFonts w:ascii="Times New Roman" w:hAnsi="Times New Roman" w:cs="Times New Roman"/>
          <w:sz w:val="24"/>
        </w:rPr>
      </w:pPr>
      <w:r w:rsidRPr="00EE4ED6">
        <w:rPr>
          <w:rFonts w:ascii="Times New Roman" w:hAnsi="Times New Roman" w:cs="Times New Roman"/>
          <w:sz w:val="24"/>
        </w:rPr>
        <w:t>SO2 emissions</w:t>
      </w:r>
    </w:p>
    <w:p w:rsidR="006C02CB" w:rsidRPr="00EE4ED6" w:rsidRDefault="006C02CB" w:rsidP="006C02CB">
      <w:pPr>
        <w:pStyle w:val="ListParagraph"/>
        <w:numPr>
          <w:ilvl w:val="0"/>
          <w:numId w:val="34"/>
        </w:numPr>
        <w:spacing w:after="120"/>
        <w:rPr>
          <w:rFonts w:ascii="Times New Roman" w:hAnsi="Times New Roman" w:cs="Times New Roman"/>
          <w:sz w:val="24"/>
        </w:rPr>
      </w:pPr>
      <w:r w:rsidRPr="00EE4ED6">
        <w:rPr>
          <w:rFonts w:ascii="Times New Roman" w:hAnsi="Times New Roman" w:cs="Times New Roman"/>
          <w:sz w:val="24"/>
        </w:rPr>
        <w:t>References</w:t>
      </w:r>
    </w:p>
    <w:p w:rsidR="006C02CB" w:rsidRPr="00EE4ED6" w:rsidRDefault="006C02CB" w:rsidP="006C02CB">
      <w:pPr>
        <w:spacing w:after="120"/>
        <w:rPr>
          <w:u w:val="single"/>
        </w:rPr>
      </w:pPr>
      <w:r w:rsidRPr="00EE4ED6">
        <w:rPr>
          <w:u w:val="single"/>
        </w:rPr>
        <w:t>Introduction</w:t>
      </w:r>
    </w:p>
    <w:p w:rsidR="006C02CB" w:rsidRPr="00EE4ED6" w:rsidRDefault="006C02CB" w:rsidP="006C02CB">
      <w:pPr>
        <w:spacing w:after="120"/>
      </w:pPr>
      <w:r w:rsidRPr="00EE4ED6">
        <w:t>This report has been</w:t>
      </w:r>
      <w:r w:rsidR="000326A0" w:rsidRPr="00EE4ED6">
        <w:t xml:space="preserve"> undertaken at the request of Witten LLP Inc.</w:t>
      </w:r>
      <w:r w:rsidRPr="00EE4ED6">
        <w:t xml:space="preserve">, who </w:t>
      </w:r>
      <w:r w:rsidR="000326A0" w:rsidRPr="00EE4ED6">
        <w:t>is working with</w:t>
      </w:r>
      <w:r w:rsidRPr="00EE4ED6">
        <w:t xml:space="preserve"> Dr. Brad Stelfox of ALCES Gr</w:t>
      </w:r>
      <w:r w:rsidR="00C83EBE" w:rsidRPr="00EE4ED6">
        <w:t>oup in assessing the impact of o</w:t>
      </w:r>
      <w:r w:rsidRPr="00EE4ED6">
        <w:t>il sands development on the Cold Lake First Nations area.</w:t>
      </w:r>
    </w:p>
    <w:p w:rsidR="006C02CB" w:rsidRPr="00EE4ED6" w:rsidRDefault="006C02CB" w:rsidP="006C02CB">
      <w:pPr>
        <w:spacing w:after="120"/>
      </w:pPr>
    </w:p>
    <w:p w:rsidR="006C02CB" w:rsidRPr="00EE4ED6" w:rsidRDefault="006C02CB" w:rsidP="006C02CB">
      <w:pPr>
        <w:spacing w:after="120"/>
        <w:rPr>
          <w:u w:val="single"/>
        </w:rPr>
      </w:pPr>
      <w:r w:rsidRPr="00EE4ED6">
        <w:rPr>
          <w:u w:val="single"/>
        </w:rPr>
        <w:t>Scope</w:t>
      </w:r>
    </w:p>
    <w:p w:rsidR="006C02CB" w:rsidRPr="00EE4ED6" w:rsidRDefault="000326A0" w:rsidP="006C02CB">
      <w:pPr>
        <w:spacing w:after="120"/>
      </w:pPr>
      <w:r w:rsidRPr="00EE4ED6">
        <w:t>T</w:t>
      </w:r>
      <w:r w:rsidR="006C02CB" w:rsidRPr="00EE4ED6">
        <w:t>he scope for this rep</w:t>
      </w:r>
      <w:r w:rsidRPr="00EE4ED6">
        <w:t xml:space="preserve">ort is </w:t>
      </w:r>
      <w:r w:rsidR="006C02CB" w:rsidRPr="00EE4ED6">
        <w:t>as follows:</w:t>
      </w:r>
    </w:p>
    <w:p w:rsidR="006C02CB" w:rsidRPr="00EE4ED6" w:rsidRDefault="006C02CB" w:rsidP="00962C7E">
      <w:pPr>
        <w:pStyle w:val="ListParagraph"/>
        <w:numPr>
          <w:ilvl w:val="0"/>
          <w:numId w:val="35"/>
        </w:numPr>
        <w:spacing w:after="120"/>
        <w:ind w:left="567" w:hanging="425"/>
        <w:rPr>
          <w:rFonts w:ascii="Times New Roman" w:hAnsi="Times New Roman" w:cs="Times New Roman"/>
          <w:sz w:val="24"/>
          <w:szCs w:val="24"/>
        </w:rPr>
      </w:pPr>
      <w:r w:rsidRPr="00EE4ED6">
        <w:rPr>
          <w:rFonts w:ascii="Times New Roman" w:hAnsi="Times New Roman" w:cs="Times New Roman"/>
          <w:sz w:val="24"/>
          <w:szCs w:val="24"/>
        </w:rPr>
        <w:t>Gather and verify the resource numbers pertaining to the Cold Lake Area from ERCB public database and reports</w:t>
      </w:r>
    </w:p>
    <w:p w:rsidR="006C02CB" w:rsidRPr="00EE4ED6" w:rsidRDefault="006C02CB" w:rsidP="00962C7E">
      <w:pPr>
        <w:pStyle w:val="ListParagraph"/>
        <w:numPr>
          <w:ilvl w:val="0"/>
          <w:numId w:val="35"/>
        </w:numPr>
        <w:spacing w:after="120"/>
        <w:ind w:left="567" w:hanging="425"/>
        <w:rPr>
          <w:rFonts w:ascii="Times New Roman" w:hAnsi="Times New Roman" w:cs="Times New Roman"/>
          <w:sz w:val="24"/>
          <w:szCs w:val="24"/>
        </w:rPr>
      </w:pPr>
      <w:r w:rsidRPr="00EE4ED6">
        <w:rPr>
          <w:rFonts w:ascii="Times New Roman" w:hAnsi="Times New Roman" w:cs="Times New Roman"/>
          <w:sz w:val="24"/>
          <w:szCs w:val="24"/>
        </w:rPr>
        <w:t>Subdivide the resource by deposit and by recovery methods currently/historically employed</w:t>
      </w:r>
    </w:p>
    <w:p w:rsidR="006C02CB" w:rsidRPr="00EE4ED6" w:rsidRDefault="006C02CB" w:rsidP="00962C7E">
      <w:pPr>
        <w:pStyle w:val="ListParagraph"/>
        <w:numPr>
          <w:ilvl w:val="0"/>
          <w:numId w:val="35"/>
        </w:numPr>
        <w:spacing w:after="120"/>
        <w:ind w:left="567" w:hanging="425"/>
        <w:rPr>
          <w:rFonts w:ascii="Times New Roman" w:hAnsi="Times New Roman" w:cs="Times New Roman"/>
          <w:sz w:val="24"/>
          <w:szCs w:val="24"/>
        </w:rPr>
      </w:pPr>
      <w:r w:rsidRPr="00EE4ED6">
        <w:rPr>
          <w:rFonts w:ascii="Times New Roman" w:hAnsi="Times New Roman" w:cs="Times New Roman"/>
          <w:sz w:val="24"/>
          <w:szCs w:val="24"/>
        </w:rPr>
        <w:t>Assign recovery factors to each deposit</w:t>
      </w:r>
    </w:p>
    <w:p w:rsidR="006C02CB" w:rsidRPr="00EE4ED6" w:rsidRDefault="006C02CB" w:rsidP="00962C7E">
      <w:pPr>
        <w:pStyle w:val="ListParagraph"/>
        <w:numPr>
          <w:ilvl w:val="0"/>
          <w:numId w:val="35"/>
        </w:numPr>
        <w:spacing w:after="120"/>
        <w:ind w:left="567" w:hanging="425"/>
        <w:rPr>
          <w:rFonts w:ascii="Times New Roman" w:hAnsi="Times New Roman" w:cs="Times New Roman"/>
          <w:sz w:val="24"/>
          <w:szCs w:val="24"/>
        </w:rPr>
      </w:pPr>
      <w:r w:rsidRPr="00EE4ED6">
        <w:rPr>
          <w:rFonts w:ascii="Times New Roman" w:hAnsi="Times New Roman" w:cs="Times New Roman"/>
          <w:sz w:val="24"/>
          <w:szCs w:val="24"/>
        </w:rPr>
        <w:t>Determine remaining amount of recoverable oil through existing methods (</w:t>
      </w:r>
      <w:r w:rsidR="000326A0" w:rsidRPr="00EE4ED6">
        <w:rPr>
          <w:rFonts w:ascii="Times New Roman" w:hAnsi="Times New Roman" w:cs="Times New Roman"/>
          <w:sz w:val="24"/>
          <w:szCs w:val="24"/>
        </w:rPr>
        <w:t>attached</w:t>
      </w:r>
      <w:r w:rsidRPr="00EE4ED6">
        <w:rPr>
          <w:rFonts w:ascii="Times New Roman" w:hAnsi="Times New Roman" w:cs="Times New Roman"/>
          <w:sz w:val="24"/>
          <w:szCs w:val="24"/>
        </w:rPr>
        <w:t>)</w:t>
      </w:r>
    </w:p>
    <w:p w:rsidR="006C02CB" w:rsidRPr="00EE4ED6" w:rsidRDefault="006C02CB" w:rsidP="00962C7E">
      <w:pPr>
        <w:pStyle w:val="ListParagraph"/>
        <w:numPr>
          <w:ilvl w:val="0"/>
          <w:numId w:val="35"/>
        </w:numPr>
        <w:spacing w:after="120"/>
        <w:ind w:left="567" w:hanging="425"/>
        <w:rPr>
          <w:rFonts w:ascii="Times New Roman" w:hAnsi="Times New Roman" w:cs="Times New Roman"/>
          <w:sz w:val="24"/>
          <w:szCs w:val="24"/>
        </w:rPr>
      </w:pPr>
      <w:r w:rsidRPr="00EE4ED6">
        <w:rPr>
          <w:rFonts w:ascii="Times New Roman" w:hAnsi="Times New Roman" w:cs="Times New Roman"/>
          <w:sz w:val="24"/>
          <w:szCs w:val="24"/>
        </w:rPr>
        <w:t>Estimate Natural Gas coming out of solution from production of Bitumen</w:t>
      </w:r>
    </w:p>
    <w:p w:rsidR="006C02CB" w:rsidRPr="00EE4ED6" w:rsidRDefault="006C02CB" w:rsidP="00962C7E">
      <w:pPr>
        <w:pStyle w:val="ListParagraph"/>
        <w:numPr>
          <w:ilvl w:val="0"/>
          <w:numId w:val="35"/>
        </w:numPr>
        <w:spacing w:after="120"/>
        <w:ind w:left="567" w:hanging="425"/>
        <w:rPr>
          <w:rFonts w:ascii="Times New Roman" w:hAnsi="Times New Roman" w:cs="Times New Roman"/>
          <w:sz w:val="24"/>
          <w:szCs w:val="24"/>
        </w:rPr>
      </w:pPr>
      <w:r w:rsidRPr="00EE4ED6">
        <w:rPr>
          <w:rFonts w:ascii="Times New Roman" w:hAnsi="Times New Roman" w:cs="Times New Roman"/>
          <w:sz w:val="24"/>
          <w:szCs w:val="24"/>
        </w:rPr>
        <w:t>Estimate SO</w:t>
      </w:r>
      <w:r w:rsidRPr="00EE4ED6">
        <w:rPr>
          <w:rFonts w:ascii="Times New Roman" w:hAnsi="Times New Roman" w:cs="Times New Roman"/>
          <w:sz w:val="24"/>
          <w:szCs w:val="24"/>
          <w:vertAlign w:val="subscript"/>
        </w:rPr>
        <w:t>2</w:t>
      </w:r>
      <w:r w:rsidRPr="00EE4ED6">
        <w:rPr>
          <w:rFonts w:ascii="Times New Roman" w:hAnsi="Times New Roman" w:cs="Times New Roman"/>
          <w:sz w:val="24"/>
          <w:szCs w:val="24"/>
        </w:rPr>
        <w:t xml:space="preserve"> emissions from production of Bitumen as a function of recovery method</w:t>
      </w:r>
    </w:p>
    <w:p w:rsidR="006C02CB" w:rsidRDefault="006C02CB" w:rsidP="006C02CB">
      <w:pPr>
        <w:spacing w:after="120"/>
      </w:pPr>
      <w:r w:rsidRPr="00EE4ED6">
        <w:t>The outputs from this report will form part of the input for ALCES simulation model to determine future environmental, ecological and economic impac</w:t>
      </w:r>
      <w:r w:rsidR="000326A0" w:rsidRPr="00EE4ED6">
        <w:t>t of developing those resources</w:t>
      </w:r>
      <w:r w:rsidRPr="00EE4ED6">
        <w:t>.</w:t>
      </w:r>
    </w:p>
    <w:p w:rsidR="00EE4ED6" w:rsidRPr="00EE4ED6" w:rsidRDefault="00EE4ED6" w:rsidP="006C02CB">
      <w:pPr>
        <w:spacing w:after="120"/>
      </w:pPr>
    </w:p>
    <w:p w:rsidR="006C02CB" w:rsidRPr="00EE4ED6" w:rsidRDefault="006C02CB" w:rsidP="006C02CB">
      <w:pPr>
        <w:spacing w:after="120"/>
        <w:rPr>
          <w:u w:val="single"/>
        </w:rPr>
      </w:pPr>
      <w:r w:rsidRPr="00EE4ED6">
        <w:rPr>
          <w:u w:val="single"/>
        </w:rPr>
        <w:lastRenderedPageBreak/>
        <w:t>Methodology and Sources of Data</w:t>
      </w:r>
    </w:p>
    <w:p w:rsidR="006C02CB" w:rsidRPr="00EE4ED6" w:rsidRDefault="00FA4BB2" w:rsidP="006C02CB">
      <w:pPr>
        <w:spacing w:after="120"/>
      </w:pPr>
      <w:r w:rsidRPr="00EE4ED6">
        <w:t xml:space="preserve">The methodology </w:t>
      </w:r>
      <w:r w:rsidR="006C02CB" w:rsidRPr="00EE4ED6">
        <w:t>i</w:t>
      </w:r>
      <w:r w:rsidRPr="00EE4ED6">
        <w:t>n this report primarily uses</w:t>
      </w:r>
      <w:r w:rsidR="006C02CB" w:rsidRPr="00EE4ED6">
        <w:t xml:space="preserve"> publicly available data through the ERCB’s website, and technical reports and papers available for download. </w:t>
      </w:r>
      <w:r w:rsidR="000326A0" w:rsidRPr="00EE4ED6">
        <w:t>We have</w:t>
      </w:r>
      <w:r w:rsidR="006C02CB" w:rsidRPr="00EE4ED6">
        <w:t xml:space="preserve"> also drawn upon previous experience from working on oil sands projects in the Cold Lake area</w:t>
      </w:r>
      <w:r w:rsidRPr="00EE4ED6">
        <w:t xml:space="preserve"> </w:t>
      </w:r>
      <w:r w:rsidR="006C02CB" w:rsidRPr="00EE4ED6">
        <w:t xml:space="preserve">and </w:t>
      </w:r>
      <w:r w:rsidR="000326A0" w:rsidRPr="00EE4ED6">
        <w:t>have</w:t>
      </w:r>
      <w:r w:rsidR="006C02CB" w:rsidRPr="00EE4ED6">
        <w:t xml:space="preserve"> made certain assumptions</w:t>
      </w:r>
      <w:r w:rsidRPr="00EE4ED6">
        <w:t>,</w:t>
      </w:r>
      <w:r w:rsidR="006C02CB" w:rsidRPr="00EE4ED6">
        <w:t xml:space="preserve"> </w:t>
      </w:r>
      <w:r w:rsidRPr="00EE4ED6">
        <w:t>which are highlighted in the report</w:t>
      </w:r>
      <w:r w:rsidR="006C02CB" w:rsidRPr="00EE4ED6">
        <w:t>.</w:t>
      </w:r>
    </w:p>
    <w:p w:rsidR="006C02CB" w:rsidRPr="00EE4ED6" w:rsidRDefault="00FA4BB2" w:rsidP="006C02CB">
      <w:pPr>
        <w:spacing w:after="120"/>
      </w:pPr>
      <w:r w:rsidRPr="00EE4ED6">
        <w:t>S</w:t>
      </w:r>
      <w:r w:rsidR="006C02CB" w:rsidRPr="00EE4ED6">
        <w:t>our</w:t>
      </w:r>
      <w:r w:rsidRPr="00EE4ED6">
        <w:t>ces of data are found in</w:t>
      </w:r>
      <w:r w:rsidR="006C02CB" w:rsidRPr="00EE4ED6">
        <w:t xml:space="preserve"> the reference section at the end of the report.</w:t>
      </w:r>
    </w:p>
    <w:p w:rsidR="006C02CB" w:rsidRPr="00EE4ED6" w:rsidRDefault="006C02CB" w:rsidP="006C02CB">
      <w:pPr>
        <w:spacing w:after="120"/>
      </w:pPr>
    </w:p>
    <w:p w:rsidR="006C02CB" w:rsidRPr="00EE4ED6" w:rsidRDefault="006C02CB" w:rsidP="006C02CB">
      <w:pPr>
        <w:spacing w:after="120"/>
        <w:rPr>
          <w:u w:val="single"/>
        </w:rPr>
      </w:pPr>
      <w:r w:rsidRPr="00EE4ED6">
        <w:rPr>
          <w:u w:val="single"/>
        </w:rPr>
        <w:t>Resource estimates</w:t>
      </w:r>
    </w:p>
    <w:p w:rsidR="006C02CB" w:rsidRPr="00EE4ED6" w:rsidRDefault="006C02CB" w:rsidP="006C02CB">
      <w:pPr>
        <w:spacing w:after="120"/>
      </w:pPr>
      <w:r w:rsidRPr="00EE4ED6">
        <w:t>The Resource numbers are summarized below in Table 1.</w:t>
      </w:r>
    </w:p>
    <w:p w:rsidR="006C02CB" w:rsidRPr="00EE4ED6" w:rsidRDefault="006C02CB" w:rsidP="006C02CB">
      <w:pPr>
        <w:spacing w:after="120"/>
      </w:pPr>
      <w:r w:rsidRPr="00EE4ED6">
        <w:t xml:space="preserve">Table 1: Heavy Oil &amp; Bitumen in place in the Cold Lake Oil sands area </w:t>
      </w:r>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tblPr>
      <w:tblGrid>
        <w:gridCol w:w="1842"/>
        <w:gridCol w:w="1726"/>
        <w:gridCol w:w="1820"/>
        <w:gridCol w:w="1906"/>
        <w:gridCol w:w="1922"/>
      </w:tblGrid>
      <w:tr w:rsidR="006C02CB" w:rsidRPr="00D373C8" w:rsidTr="00D9732B">
        <w:trPr>
          <w:trHeight w:val="630"/>
        </w:trPr>
        <w:tc>
          <w:tcPr>
            <w:tcW w:w="999" w:type="pct"/>
            <w:tcBorders>
              <w:bottom w:val="single" w:sz="12" w:space="0" w:color="000000"/>
            </w:tcBorders>
            <w:shd w:val="clear" w:color="auto" w:fill="auto"/>
            <w:hideMark/>
          </w:tcPr>
          <w:p w:rsidR="006C02CB" w:rsidRPr="00D373C8" w:rsidRDefault="006C02CB" w:rsidP="006C02CB">
            <w:pPr>
              <w:ind w:firstLineChars="100" w:firstLine="200"/>
              <w:rPr>
                <w:color w:val="000000"/>
                <w:sz w:val="20"/>
                <w:szCs w:val="20"/>
              </w:rPr>
            </w:pPr>
            <w:r w:rsidRPr="00D373C8">
              <w:rPr>
                <w:color w:val="000000"/>
                <w:sz w:val="20"/>
                <w:szCs w:val="20"/>
              </w:rPr>
              <w:t> </w:t>
            </w:r>
          </w:p>
        </w:tc>
        <w:tc>
          <w:tcPr>
            <w:tcW w:w="936" w:type="pct"/>
            <w:tcBorders>
              <w:bottom w:val="single" w:sz="12" w:space="0" w:color="000000"/>
            </w:tcBorders>
            <w:shd w:val="clear" w:color="auto" w:fill="auto"/>
            <w:vAlign w:val="center"/>
            <w:hideMark/>
          </w:tcPr>
          <w:p w:rsidR="006C02CB" w:rsidRPr="00D373C8" w:rsidRDefault="006C02CB" w:rsidP="00D9732B">
            <w:pPr>
              <w:rPr>
                <w:b/>
                <w:bCs/>
                <w:color w:val="000000"/>
                <w:sz w:val="20"/>
              </w:rPr>
            </w:pPr>
            <w:r w:rsidRPr="00D373C8">
              <w:rPr>
                <w:b/>
                <w:bCs/>
                <w:color w:val="000000"/>
                <w:sz w:val="20"/>
              </w:rPr>
              <w:t xml:space="preserve">Primary Extraction of Heavy Oil </w:t>
            </w:r>
          </w:p>
        </w:tc>
        <w:tc>
          <w:tcPr>
            <w:tcW w:w="987" w:type="pct"/>
            <w:tcBorders>
              <w:bottom w:val="single" w:sz="12" w:space="0" w:color="000000"/>
            </w:tcBorders>
            <w:shd w:val="clear" w:color="auto" w:fill="auto"/>
            <w:vAlign w:val="center"/>
            <w:hideMark/>
          </w:tcPr>
          <w:p w:rsidR="006C02CB" w:rsidRPr="00D373C8" w:rsidRDefault="006C02CB" w:rsidP="00D9732B">
            <w:pPr>
              <w:rPr>
                <w:b/>
                <w:bCs/>
                <w:color w:val="000000"/>
                <w:sz w:val="20"/>
              </w:rPr>
            </w:pPr>
            <w:r w:rsidRPr="00D373C8">
              <w:rPr>
                <w:b/>
                <w:bCs/>
                <w:color w:val="000000"/>
                <w:sz w:val="20"/>
              </w:rPr>
              <w:t xml:space="preserve">Cyclic Steam Stimulation (CSS) </w:t>
            </w:r>
          </w:p>
        </w:tc>
        <w:tc>
          <w:tcPr>
            <w:tcW w:w="1034" w:type="pct"/>
            <w:tcBorders>
              <w:bottom w:val="single" w:sz="12" w:space="0" w:color="000000"/>
            </w:tcBorders>
            <w:shd w:val="clear" w:color="auto" w:fill="auto"/>
            <w:vAlign w:val="center"/>
            <w:hideMark/>
          </w:tcPr>
          <w:p w:rsidR="006C02CB" w:rsidRPr="00D373C8" w:rsidRDefault="006C02CB" w:rsidP="00D9732B">
            <w:pPr>
              <w:rPr>
                <w:b/>
                <w:bCs/>
                <w:color w:val="000000"/>
                <w:sz w:val="20"/>
              </w:rPr>
            </w:pPr>
            <w:r w:rsidRPr="00D373C8">
              <w:rPr>
                <w:b/>
                <w:bCs/>
                <w:color w:val="000000"/>
                <w:sz w:val="20"/>
              </w:rPr>
              <w:t xml:space="preserve">Steam-Assisted Gravity Drainage (SAGD) </w:t>
            </w:r>
          </w:p>
        </w:tc>
        <w:tc>
          <w:tcPr>
            <w:tcW w:w="1043" w:type="pct"/>
            <w:tcBorders>
              <w:bottom w:val="single" w:sz="12" w:space="0" w:color="000000"/>
            </w:tcBorders>
            <w:shd w:val="clear" w:color="auto" w:fill="auto"/>
            <w:vAlign w:val="center"/>
            <w:hideMark/>
          </w:tcPr>
          <w:p w:rsidR="006C02CB" w:rsidRPr="00D373C8" w:rsidRDefault="006C02CB" w:rsidP="00D9732B">
            <w:pPr>
              <w:rPr>
                <w:b/>
                <w:bCs/>
                <w:color w:val="000000"/>
                <w:sz w:val="20"/>
              </w:rPr>
            </w:pPr>
            <w:r w:rsidRPr="00D373C8">
              <w:rPr>
                <w:b/>
                <w:bCs/>
                <w:color w:val="000000"/>
                <w:sz w:val="20"/>
              </w:rPr>
              <w:t xml:space="preserve">Total Heavy Oil &amp; Oilsands Volume </w:t>
            </w:r>
          </w:p>
        </w:tc>
      </w:tr>
      <w:tr w:rsidR="006C02CB" w:rsidRPr="00D373C8" w:rsidTr="00D9732B">
        <w:trPr>
          <w:trHeight w:val="375"/>
        </w:trPr>
        <w:tc>
          <w:tcPr>
            <w:tcW w:w="999" w:type="pct"/>
            <w:shd w:val="clear" w:color="auto" w:fill="BFBFBF" w:themeFill="background1" w:themeFillShade="BF"/>
            <w:vAlign w:val="center"/>
            <w:hideMark/>
          </w:tcPr>
          <w:p w:rsidR="006C02CB" w:rsidRPr="00D373C8" w:rsidRDefault="006C02CB" w:rsidP="006C02CB">
            <w:pPr>
              <w:ind w:firstLineChars="100" w:firstLine="201"/>
              <w:rPr>
                <w:b/>
                <w:bCs/>
                <w:color w:val="000000"/>
                <w:sz w:val="20"/>
                <w:u w:val="single"/>
              </w:rPr>
            </w:pPr>
            <w:r w:rsidRPr="00D373C8">
              <w:rPr>
                <w:b/>
                <w:bCs/>
                <w:color w:val="000000"/>
                <w:sz w:val="20"/>
                <w:u w:val="single"/>
              </w:rPr>
              <w:t xml:space="preserve">In-Place </w:t>
            </w:r>
          </w:p>
        </w:tc>
        <w:tc>
          <w:tcPr>
            <w:tcW w:w="936" w:type="pct"/>
            <w:shd w:val="clear" w:color="auto" w:fill="BFBFBF" w:themeFill="background1" w:themeFillShade="BF"/>
            <w:vAlign w:val="center"/>
            <w:hideMark/>
          </w:tcPr>
          <w:p w:rsidR="006C02CB" w:rsidRPr="00D373C8" w:rsidRDefault="006C02CB" w:rsidP="006C02CB">
            <w:pPr>
              <w:ind w:firstLineChars="100" w:firstLine="200"/>
              <w:rPr>
                <w:color w:val="000000"/>
                <w:sz w:val="20"/>
              </w:rPr>
            </w:pPr>
            <w:r w:rsidRPr="00D373C8">
              <w:rPr>
                <w:color w:val="000000"/>
                <w:sz w:val="20"/>
              </w:rPr>
              <w:t>Billion m</w:t>
            </w:r>
            <w:r w:rsidRPr="00D373C8">
              <w:rPr>
                <w:color w:val="000000"/>
                <w:sz w:val="20"/>
                <w:vertAlign w:val="superscript"/>
              </w:rPr>
              <w:t xml:space="preserve">3 </w:t>
            </w:r>
          </w:p>
        </w:tc>
        <w:tc>
          <w:tcPr>
            <w:tcW w:w="987" w:type="pct"/>
            <w:shd w:val="clear" w:color="auto" w:fill="BFBFBF" w:themeFill="background1" w:themeFillShade="BF"/>
            <w:vAlign w:val="center"/>
            <w:hideMark/>
          </w:tcPr>
          <w:p w:rsidR="006C02CB" w:rsidRPr="00D373C8" w:rsidRDefault="006C02CB" w:rsidP="006C02CB">
            <w:pPr>
              <w:ind w:firstLineChars="100" w:firstLine="200"/>
              <w:rPr>
                <w:color w:val="000000"/>
                <w:sz w:val="20"/>
              </w:rPr>
            </w:pPr>
            <w:r w:rsidRPr="00D373C8">
              <w:rPr>
                <w:color w:val="000000"/>
                <w:sz w:val="20"/>
              </w:rPr>
              <w:t>Billion m</w:t>
            </w:r>
            <w:r w:rsidRPr="00D373C8">
              <w:rPr>
                <w:color w:val="000000"/>
                <w:sz w:val="20"/>
                <w:vertAlign w:val="superscript"/>
              </w:rPr>
              <w:t>3</w:t>
            </w:r>
          </w:p>
        </w:tc>
        <w:tc>
          <w:tcPr>
            <w:tcW w:w="1034" w:type="pct"/>
            <w:shd w:val="clear" w:color="auto" w:fill="BFBFBF" w:themeFill="background1" w:themeFillShade="BF"/>
            <w:vAlign w:val="center"/>
            <w:hideMark/>
          </w:tcPr>
          <w:p w:rsidR="006C02CB" w:rsidRPr="00D373C8" w:rsidRDefault="006C02CB" w:rsidP="006C02CB">
            <w:pPr>
              <w:ind w:firstLineChars="100" w:firstLine="200"/>
              <w:rPr>
                <w:color w:val="000000"/>
                <w:sz w:val="20"/>
              </w:rPr>
            </w:pPr>
            <w:r w:rsidRPr="00D373C8">
              <w:rPr>
                <w:color w:val="000000"/>
                <w:sz w:val="20"/>
              </w:rPr>
              <w:t>Billion m</w:t>
            </w:r>
            <w:r w:rsidRPr="00D373C8">
              <w:rPr>
                <w:color w:val="000000"/>
                <w:sz w:val="20"/>
                <w:vertAlign w:val="superscript"/>
              </w:rPr>
              <w:t>3</w:t>
            </w:r>
          </w:p>
        </w:tc>
        <w:tc>
          <w:tcPr>
            <w:tcW w:w="1043" w:type="pct"/>
            <w:shd w:val="clear" w:color="auto" w:fill="BFBFBF" w:themeFill="background1" w:themeFillShade="BF"/>
            <w:vAlign w:val="center"/>
            <w:hideMark/>
          </w:tcPr>
          <w:p w:rsidR="006C02CB" w:rsidRPr="00D373C8" w:rsidRDefault="006C02CB" w:rsidP="006C02CB">
            <w:pPr>
              <w:ind w:firstLineChars="100" w:firstLine="200"/>
              <w:rPr>
                <w:color w:val="000000"/>
                <w:sz w:val="20"/>
              </w:rPr>
            </w:pPr>
            <w:r w:rsidRPr="00D373C8">
              <w:rPr>
                <w:color w:val="000000"/>
                <w:sz w:val="20"/>
              </w:rPr>
              <w:t>Billion m</w:t>
            </w:r>
            <w:r w:rsidRPr="00D373C8">
              <w:rPr>
                <w:color w:val="000000"/>
                <w:sz w:val="20"/>
                <w:vertAlign w:val="superscript"/>
              </w:rPr>
              <w:t>3</w:t>
            </w:r>
          </w:p>
        </w:tc>
      </w:tr>
      <w:tr w:rsidR="006C02CB" w:rsidRPr="00D373C8" w:rsidTr="00D9732B">
        <w:trPr>
          <w:trHeight w:val="315"/>
        </w:trPr>
        <w:tc>
          <w:tcPr>
            <w:tcW w:w="999" w:type="pct"/>
            <w:shd w:val="clear" w:color="auto" w:fill="auto"/>
            <w:vAlign w:val="center"/>
            <w:hideMark/>
          </w:tcPr>
          <w:p w:rsidR="006C02CB" w:rsidRPr="00D373C8" w:rsidRDefault="006C02CB" w:rsidP="00D9732B">
            <w:pPr>
              <w:jc w:val="center"/>
              <w:rPr>
                <w:color w:val="000000"/>
                <w:sz w:val="20"/>
              </w:rPr>
            </w:pPr>
            <w:r w:rsidRPr="00D373C8">
              <w:rPr>
                <w:color w:val="000000"/>
                <w:sz w:val="20"/>
              </w:rPr>
              <w:t>Grand Rapids (Upper &amp; Lower)</w:t>
            </w:r>
          </w:p>
        </w:tc>
        <w:tc>
          <w:tcPr>
            <w:tcW w:w="936" w:type="pct"/>
            <w:shd w:val="clear" w:color="auto" w:fill="auto"/>
            <w:vAlign w:val="center"/>
            <w:hideMark/>
          </w:tcPr>
          <w:p w:rsidR="006C02CB" w:rsidRPr="00D373C8" w:rsidRDefault="006C02CB" w:rsidP="00D9732B">
            <w:pPr>
              <w:jc w:val="center"/>
              <w:rPr>
                <w:color w:val="000000"/>
                <w:sz w:val="20"/>
              </w:rPr>
            </w:pPr>
            <w:r w:rsidRPr="00D373C8">
              <w:rPr>
                <w:color w:val="000000"/>
                <w:sz w:val="20"/>
              </w:rPr>
              <w:t>10.25</w:t>
            </w:r>
          </w:p>
        </w:tc>
        <w:tc>
          <w:tcPr>
            <w:tcW w:w="987" w:type="pct"/>
            <w:shd w:val="clear" w:color="auto" w:fill="auto"/>
            <w:vAlign w:val="center"/>
            <w:hideMark/>
          </w:tcPr>
          <w:p w:rsidR="006C02CB" w:rsidRPr="00D373C8" w:rsidRDefault="006C02CB" w:rsidP="00D9732B">
            <w:pPr>
              <w:jc w:val="center"/>
              <w:rPr>
                <w:color w:val="000000"/>
                <w:sz w:val="20"/>
              </w:rPr>
            </w:pPr>
            <w:r w:rsidRPr="00D373C8">
              <w:rPr>
                <w:color w:val="000000"/>
                <w:sz w:val="20"/>
              </w:rPr>
              <w:t>2.56</w:t>
            </w:r>
          </w:p>
        </w:tc>
        <w:tc>
          <w:tcPr>
            <w:tcW w:w="1034" w:type="pct"/>
            <w:shd w:val="clear" w:color="auto" w:fill="auto"/>
            <w:vAlign w:val="center"/>
            <w:hideMark/>
          </w:tcPr>
          <w:p w:rsidR="006C02CB" w:rsidRPr="00D373C8" w:rsidRDefault="006C02CB" w:rsidP="00D9732B">
            <w:pPr>
              <w:jc w:val="center"/>
              <w:rPr>
                <w:color w:val="000000"/>
                <w:sz w:val="20"/>
              </w:rPr>
            </w:pPr>
            <w:r w:rsidRPr="00D373C8">
              <w:rPr>
                <w:color w:val="000000"/>
                <w:sz w:val="20"/>
              </w:rPr>
              <w:t>2.56</w:t>
            </w:r>
          </w:p>
        </w:tc>
        <w:tc>
          <w:tcPr>
            <w:tcW w:w="1043" w:type="pct"/>
            <w:shd w:val="clear" w:color="auto" w:fill="auto"/>
            <w:vAlign w:val="center"/>
            <w:hideMark/>
          </w:tcPr>
          <w:p w:rsidR="006C02CB" w:rsidRPr="00D373C8" w:rsidRDefault="006C02CB" w:rsidP="00D9732B">
            <w:pPr>
              <w:jc w:val="center"/>
              <w:rPr>
                <w:color w:val="000000"/>
                <w:sz w:val="20"/>
              </w:rPr>
            </w:pPr>
            <w:r w:rsidRPr="00D373C8">
              <w:rPr>
                <w:color w:val="000000"/>
                <w:sz w:val="20"/>
              </w:rPr>
              <w:t>15.38</w:t>
            </w:r>
          </w:p>
        </w:tc>
      </w:tr>
      <w:tr w:rsidR="006C02CB" w:rsidRPr="00D373C8" w:rsidTr="00D9732B">
        <w:trPr>
          <w:trHeight w:val="315"/>
        </w:trPr>
        <w:tc>
          <w:tcPr>
            <w:tcW w:w="999" w:type="pct"/>
            <w:shd w:val="clear" w:color="auto" w:fill="auto"/>
            <w:vAlign w:val="center"/>
            <w:hideMark/>
          </w:tcPr>
          <w:p w:rsidR="006C02CB" w:rsidRPr="00D373C8" w:rsidRDefault="006C02CB" w:rsidP="00D9732B">
            <w:pPr>
              <w:jc w:val="center"/>
              <w:rPr>
                <w:color w:val="000000"/>
                <w:sz w:val="20"/>
              </w:rPr>
            </w:pPr>
            <w:r w:rsidRPr="00D373C8">
              <w:rPr>
                <w:color w:val="000000"/>
                <w:sz w:val="20"/>
              </w:rPr>
              <w:t>Clearwater</w:t>
            </w:r>
          </w:p>
        </w:tc>
        <w:tc>
          <w:tcPr>
            <w:tcW w:w="936" w:type="pct"/>
            <w:shd w:val="clear" w:color="auto" w:fill="auto"/>
            <w:vAlign w:val="center"/>
            <w:hideMark/>
          </w:tcPr>
          <w:p w:rsidR="006C02CB" w:rsidRPr="00D373C8" w:rsidRDefault="006C02CB" w:rsidP="00D9732B">
            <w:pPr>
              <w:jc w:val="center"/>
              <w:rPr>
                <w:color w:val="000000"/>
                <w:sz w:val="20"/>
              </w:rPr>
            </w:pPr>
            <w:r w:rsidRPr="00D373C8">
              <w:rPr>
                <w:color w:val="000000"/>
                <w:sz w:val="20"/>
              </w:rPr>
              <w:t>0</w:t>
            </w:r>
          </w:p>
        </w:tc>
        <w:tc>
          <w:tcPr>
            <w:tcW w:w="987" w:type="pct"/>
            <w:shd w:val="clear" w:color="auto" w:fill="auto"/>
            <w:vAlign w:val="center"/>
            <w:hideMark/>
          </w:tcPr>
          <w:p w:rsidR="006C02CB" w:rsidRPr="00D373C8" w:rsidRDefault="006C02CB" w:rsidP="00D9732B">
            <w:pPr>
              <w:jc w:val="center"/>
              <w:rPr>
                <w:color w:val="000000"/>
                <w:sz w:val="20"/>
              </w:rPr>
            </w:pPr>
            <w:r w:rsidRPr="00D373C8">
              <w:rPr>
                <w:color w:val="000000"/>
                <w:sz w:val="20"/>
              </w:rPr>
              <w:t>7.54</w:t>
            </w:r>
          </w:p>
        </w:tc>
        <w:tc>
          <w:tcPr>
            <w:tcW w:w="1034" w:type="pct"/>
            <w:shd w:val="clear" w:color="auto" w:fill="auto"/>
            <w:vAlign w:val="center"/>
            <w:hideMark/>
          </w:tcPr>
          <w:p w:rsidR="006C02CB" w:rsidRPr="00D373C8" w:rsidRDefault="006C02CB" w:rsidP="00D9732B">
            <w:pPr>
              <w:jc w:val="center"/>
              <w:rPr>
                <w:color w:val="000000"/>
                <w:sz w:val="20"/>
              </w:rPr>
            </w:pPr>
            <w:r w:rsidRPr="00D373C8">
              <w:rPr>
                <w:color w:val="000000"/>
                <w:sz w:val="20"/>
              </w:rPr>
              <w:t>1.88</w:t>
            </w:r>
          </w:p>
        </w:tc>
        <w:tc>
          <w:tcPr>
            <w:tcW w:w="1043" w:type="pct"/>
            <w:shd w:val="clear" w:color="auto" w:fill="auto"/>
            <w:vAlign w:val="center"/>
            <w:hideMark/>
          </w:tcPr>
          <w:p w:rsidR="006C02CB" w:rsidRPr="00D373C8" w:rsidRDefault="006C02CB" w:rsidP="00D9732B">
            <w:pPr>
              <w:jc w:val="center"/>
              <w:rPr>
                <w:color w:val="000000"/>
                <w:sz w:val="20"/>
              </w:rPr>
            </w:pPr>
            <w:r w:rsidRPr="00D373C8">
              <w:rPr>
                <w:color w:val="000000"/>
                <w:sz w:val="20"/>
              </w:rPr>
              <w:t>9.42</w:t>
            </w:r>
          </w:p>
        </w:tc>
      </w:tr>
      <w:tr w:rsidR="006C02CB" w:rsidRPr="00D373C8" w:rsidTr="00D9732B">
        <w:trPr>
          <w:trHeight w:val="315"/>
        </w:trPr>
        <w:tc>
          <w:tcPr>
            <w:tcW w:w="999" w:type="pct"/>
            <w:shd w:val="clear" w:color="auto" w:fill="auto"/>
            <w:vAlign w:val="center"/>
            <w:hideMark/>
          </w:tcPr>
          <w:p w:rsidR="006C02CB" w:rsidRPr="00D373C8" w:rsidRDefault="006C02CB" w:rsidP="00D9732B">
            <w:pPr>
              <w:jc w:val="center"/>
              <w:rPr>
                <w:color w:val="000000"/>
                <w:sz w:val="20"/>
              </w:rPr>
            </w:pPr>
            <w:r w:rsidRPr="00D373C8">
              <w:rPr>
                <w:color w:val="000000"/>
                <w:sz w:val="20"/>
              </w:rPr>
              <w:t>Wabiskaw/ Ft. McMurray</w:t>
            </w:r>
          </w:p>
        </w:tc>
        <w:tc>
          <w:tcPr>
            <w:tcW w:w="936" w:type="pct"/>
            <w:shd w:val="clear" w:color="auto" w:fill="auto"/>
            <w:vAlign w:val="center"/>
            <w:hideMark/>
          </w:tcPr>
          <w:p w:rsidR="006C02CB" w:rsidRPr="00D373C8" w:rsidRDefault="006C02CB" w:rsidP="00D9732B">
            <w:pPr>
              <w:jc w:val="center"/>
              <w:rPr>
                <w:color w:val="000000"/>
                <w:sz w:val="20"/>
              </w:rPr>
            </w:pPr>
            <w:r w:rsidRPr="00D373C8">
              <w:rPr>
                <w:color w:val="000000"/>
                <w:sz w:val="20"/>
              </w:rPr>
              <w:t>0</w:t>
            </w:r>
          </w:p>
        </w:tc>
        <w:tc>
          <w:tcPr>
            <w:tcW w:w="987" w:type="pct"/>
            <w:shd w:val="clear" w:color="auto" w:fill="auto"/>
            <w:vAlign w:val="center"/>
            <w:hideMark/>
          </w:tcPr>
          <w:p w:rsidR="006C02CB" w:rsidRPr="00D373C8" w:rsidRDefault="006C02CB" w:rsidP="00D9732B">
            <w:pPr>
              <w:jc w:val="center"/>
              <w:rPr>
                <w:color w:val="000000"/>
                <w:sz w:val="20"/>
              </w:rPr>
            </w:pPr>
            <w:r w:rsidRPr="00D373C8">
              <w:rPr>
                <w:color w:val="000000"/>
                <w:sz w:val="20"/>
              </w:rPr>
              <w:t>4.29</w:t>
            </w:r>
          </w:p>
        </w:tc>
        <w:tc>
          <w:tcPr>
            <w:tcW w:w="1034" w:type="pct"/>
            <w:shd w:val="clear" w:color="auto" w:fill="auto"/>
            <w:vAlign w:val="center"/>
            <w:hideMark/>
          </w:tcPr>
          <w:p w:rsidR="006C02CB" w:rsidRPr="00D373C8" w:rsidRDefault="006C02CB" w:rsidP="00D9732B">
            <w:pPr>
              <w:jc w:val="center"/>
              <w:rPr>
                <w:color w:val="000000"/>
                <w:sz w:val="20"/>
              </w:rPr>
            </w:pPr>
            <w:r w:rsidRPr="00D373C8">
              <w:rPr>
                <w:color w:val="000000"/>
                <w:sz w:val="20"/>
              </w:rPr>
              <w:t>0</w:t>
            </w:r>
          </w:p>
        </w:tc>
        <w:tc>
          <w:tcPr>
            <w:tcW w:w="1043" w:type="pct"/>
            <w:shd w:val="clear" w:color="auto" w:fill="auto"/>
            <w:vAlign w:val="center"/>
            <w:hideMark/>
          </w:tcPr>
          <w:p w:rsidR="006C02CB" w:rsidRPr="00D373C8" w:rsidRDefault="006C02CB" w:rsidP="00D9732B">
            <w:pPr>
              <w:jc w:val="center"/>
              <w:rPr>
                <w:color w:val="000000"/>
                <w:sz w:val="20"/>
              </w:rPr>
            </w:pPr>
            <w:r w:rsidRPr="00D373C8">
              <w:rPr>
                <w:color w:val="000000"/>
                <w:sz w:val="20"/>
              </w:rPr>
              <w:t>4.29</w:t>
            </w:r>
          </w:p>
        </w:tc>
      </w:tr>
      <w:tr w:rsidR="006C02CB" w:rsidRPr="00D373C8" w:rsidTr="00D9732B">
        <w:trPr>
          <w:trHeight w:val="315"/>
        </w:trPr>
        <w:tc>
          <w:tcPr>
            <w:tcW w:w="999" w:type="pct"/>
            <w:shd w:val="clear" w:color="auto" w:fill="auto"/>
            <w:vAlign w:val="center"/>
            <w:hideMark/>
          </w:tcPr>
          <w:p w:rsidR="006C02CB" w:rsidRPr="00D373C8" w:rsidRDefault="006C02CB" w:rsidP="00D9732B">
            <w:pPr>
              <w:jc w:val="center"/>
              <w:rPr>
                <w:b/>
                <w:color w:val="000000"/>
                <w:sz w:val="20"/>
              </w:rPr>
            </w:pPr>
            <w:r w:rsidRPr="00D373C8">
              <w:rPr>
                <w:b/>
                <w:color w:val="000000"/>
                <w:sz w:val="20"/>
              </w:rPr>
              <w:t>Total</w:t>
            </w:r>
          </w:p>
        </w:tc>
        <w:tc>
          <w:tcPr>
            <w:tcW w:w="936" w:type="pct"/>
            <w:shd w:val="clear" w:color="auto" w:fill="auto"/>
            <w:vAlign w:val="center"/>
            <w:hideMark/>
          </w:tcPr>
          <w:p w:rsidR="006C02CB" w:rsidRPr="00D373C8" w:rsidRDefault="006C02CB" w:rsidP="00D9732B">
            <w:pPr>
              <w:jc w:val="center"/>
              <w:rPr>
                <w:b/>
                <w:color w:val="000000"/>
                <w:sz w:val="20"/>
              </w:rPr>
            </w:pPr>
            <w:r w:rsidRPr="00D373C8">
              <w:rPr>
                <w:b/>
                <w:color w:val="000000"/>
                <w:sz w:val="20"/>
              </w:rPr>
              <w:t>10.25</w:t>
            </w:r>
          </w:p>
        </w:tc>
        <w:tc>
          <w:tcPr>
            <w:tcW w:w="987" w:type="pct"/>
            <w:shd w:val="clear" w:color="auto" w:fill="auto"/>
            <w:vAlign w:val="center"/>
            <w:hideMark/>
          </w:tcPr>
          <w:p w:rsidR="006C02CB" w:rsidRPr="00D373C8" w:rsidRDefault="006C02CB" w:rsidP="00D9732B">
            <w:pPr>
              <w:jc w:val="center"/>
              <w:rPr>
                <w:b/>
                <w:color w:val="000000"/>
                <w:sz w:val="20"/>
              </w:rPr>
            </w:pPr>
            <w:r w:rsidRPr="00D373C8">
              <w:rPr>
                <w:b/>
                <w:color w:val="000000"/>
                <w:sz w:val="20"/>
              </w:rPr>
              <w:t>14.39</w:t>
            </w:r>
          </w:p>
        </w:tc>
        <w:tc>
          <w:tcPr>
            <w:tcW w:w="1034" w:type="pct"/>
            <w:shd w:val="clear" w:color="auto" w:fill="auto"/>
            <w:vAlign w:val="center"/>
            <w:hideMark/>
          </w:tcPr>
          <w:p w:rsidR="006C02CB" w:rsidRPr="00D373C8" w:rsidRDefault="006C02CB" w:rsidP="00D9732B">
            <w:pPr>
              <w:jc w:val="center"/>
              <w:rPr>
                <w:b/>
                <w:color w:val="000000"/>
                <w:sz w:val="20"/>
              </w:rPr>
            </w:pPr>
            <w:r w:rsidRPr="00D373C8">
              <w:rPr>
                <w:b/>
                <w:color w:val="000000"/>
                <w:sz w:val="20"/>
              </w:rPr>
              <w:t>4.44</w:t>
            </w:r>
          </w:p>
        </w:tc>
        <w:tc>
          <w:tcPr>
            <w:tcW w:w="1043" w:type="pct"/>
            <w:shd w:val="clear" w:color="auto" w:fill="auto"/>
            <w:vAlign w:val="center"/>
            <w:hideMark/>
          </w:tcPr>
          <w:p w:rsidR="006C02CB" w:rsidRPr="00D373C8" w:rsidRDefault="006C02CB" w:rsidP="00D9732B">
            <w:pPr>
              <w:jc w:val="center"/>
              <w:rPr>
                <w:b/>
                <w:color w:val="000000"/>
                <w:sz w:val="20"/>
              </w:rPr>
            </w:pPr>
            <w:r w:rsidRPr="00D373C8">
              <w:rPr>
                <w:b/>
                <w:color w:val="000000"/>
                <w:sz w:val="20"/>
              </w:rPr>
              <w:t>29.09</w:t>
            </w:r>
          </w:p>
        </w:tc>
      </w:tr>
      <w:tr w:rsidR="006C02CB" w:rsidRPr="00D373C8" w:rsidTr="00D9732B">
        <w:trPr>
          <w:trHeight w:val="315"/>
        </w:trPr>
        <w:tc>
          <w:tcPr>
            <w:tcW w:w="999" w:type="pct"/>
            <w:shd w:val="clear" w:color="auto" w:fill="auto"/>
            <w:vAlign w:val="center"/>
            <w:hideMark/>
          </w:tcPr>
          <w:p w:rsidR="006C02CB" w:rsidRPr="00D373C8" w:rsidRDefault="006C02CB" w:rsidP="006C02CB">
            <w:pPr>
              <w:ind w:firstLineChars="100" w:firstLine="200"/>
              <w:jc w:val="center"/>
              <w:rPr>
                <w:color w:val="000000"/>
                <w:sz w:val="20"/>
                <w:szCs w:val="20"/>
              </w:rPr>
            </w:pPr>
          </w:p>
        </w:tc>
        <w:tc>
          <w:tcPr>
            <w:tcW w:w="936" w:type="pct"/>
            <w:shd w:val="clear" w:color="auto" w:fill="auto"/>
            <w:vAlign w:val="center"/>
            <w:hideMark/>
          </w:tcPr>
          <w:p w:rsidR="006C02CB" w:rsidRPr="00D373C8" w:rsidRDefault="006C02CB" w:rsidP="006C02CB">
            <w:pPr>
              <w:ind w:firstLineChars="100" w:firstLine="200"/>
              <w:jc w:val="center"/>
              <w:rPr>
                <w:color w:val="000000"/>
                <w:sz w:val="20"/>
                <w:szCs w:val="20"/>
              </w:rPr>
            </w:pPr>
          </w:p>
        </w:tc>
        <w:tc>
          <w:tcPr>
            <w:tcW w:w="987" w:type="pct"/>
            <w:shd w:val="clear" w:color="auto" w:fill="auto"/>
            <w:vAlign w:val="center"/>
            <w:hideMark/>
          </w:tcPr>
          <w:p w:rsidR="006C02CB" w:rsidRPr="00D373C8" w:rsidRDefault="006C02CB" w:rsidP="006C02CB">
            <w:pPr>
              <w:ind w:firstLineChars="100" w:firstLine="200"/>
              <w:jc w:val="center"/>
              <w:rPr>
                <w:color w:val="000000"/>
                <w:sz w:val="20"/>
                <w:szCs w:val="20"/>
              </w:rPr>
            </w:pPr>
          </w:p>
        </w:tc>
        <w:tc>
          <w:tcPr>
            <w:tcW w:w="1034" w:type="pct"/>
            <w:shd w:val="clear" w:color="auto" w:fill="auto"/>
            <w:vAlign w:val="center"/>
            <w:hideMark/>
          </w:tcPr>
          <w:p w:rsidR="006C02CB" w:rsidRPr="00D373C8" w:rsidRDefault="006C02CB" w:rsidP="006C02CB">
            <w:pPr>
              <w:ind w:firstLineChars="100" w:firstLine="200"/>
              <w:jc w:val="center"/>
              <w:rPr>
                <w:color w:val="000000"/>
                <w:sz w:val="20"/>
                <w:szCs w:val="20"/>
              </w:rPr>
            </w:pPr>
          </w:p>
        </w:tc>
        <w:tc>
          <w:tcPr>
            <w:tcW w:w="1043" w:type="pct"/>
            <w:shd w:val="clear" w:color="auto" w:fill="auto"/>
            <w:vAlign w:val="center"/>
            <w:hideMark/>
          </w:tcPr>
          <w:p w:rsidR="006C02CB" w:rsidRPr="00D373C8" w:rsidRDefault="006C02CB" w:rsidP="006C02CB">
            <w:pPr>
              <w:ind w:firstLineChars="100" w:firstLine="200"/>
              <w:jc w:val="center"/>
              <w:rPr>
                <w:color w:val="000000"/>
                <w:sz w:val="20"/>
                <w:szCs w:val="20"/>
              </w:rPr>
            </w:pPr>
          </w:p>
        </w:tc>
      </w:tr>
      <w:tr w:rsidR="006C02CB" w:rsidRPr="00D373C8" w:rsidTr="00D9732B">
        <w:trPr>
          <w:trHeight w:val="315"/>
        </w:trPr>
        <w:tc>
          <w:tcPr>
            <w:tcW w:w="999" w:type="pct"/>
            <w:shd w:val="clear" w:color="auto" w:fill="auto"/>
            <w:vAlign w:val="center"/>
            <w:hideMark/>
          </w:tcPr>
          <w:p w:rsidR="006C02CB" w:rsidRPr="00D373C8" w:rsidRDefault="006C02CB" w:rsidP="00D9732B">
            <w:pPr>
              <w:jc w:val="center"/>
              <w:rPr>
                <w:color w:val="000000"/>
                <w:sz w:val="20"/>
              </w:rPr>
            </w:pPr>
            <w:r w:rsidRPr="00D373C8">
              <w:rPr>
                <w:color w:val="000000"/>
                <w:sz w:val="20"/>
              </w:rPr>
              <w:t>Recoverable Fraction</w:t>
            </w:r>
          </w:p>
        </w:tc>
        <w:tc>
          <w:tcPr>
            <w:tcW w:w="936" w:type="pct"/>
            <w:shd w:val="clear" w:color="auto" w:fill="auto"/>
            <w:vAlign w:val="center"/>
            <w:hideMark/>
          </w:tcPr>
          <w:p w:rsidR="006C02CB" w:rsidRPr="00D373C8" w:rsidRDefault="006C02CB" w:rsidP="006C02CB">
            <w:pPr>
              <w:ind w:firstLineChars="100" w:firstLine="200"/>
              <w:jc w:val="center"/>
              <w:rPr>
                <w:color w:val="000000"/>
                <w:sz w:val="20"/>
              </w:rPr>
            </w:pPr>
            <w:r w:rsidRPr="00D373C8">
              <w:rPr>
                <w:color w:val="000000"/>
                <w:sz w:val="20"/>
              </w:rPr>
              <w:t>5%</w:t>
            </w:r>
          </w:p>
        </w:tc>
        <w:tc>
          <w:tcPr>
            <w:tcW w:w="987" w:type="pct"/>
            <w:shd w:val="clear" w:color="auto" w:fill="auto"/>
            <w:vAlign w:val="center"/>
            <w:hideMark/>
          </w:tcPr>
          <w:p w:rsidR="006C02CB" w:rsidRPr="00D373C8" w:rsidRDefault="006C02CB" w:rsidP="006C02CB">
            <w:pPr>
              <w:ind w:firstLineChars="100" w:firstLine="200"/>
              <w:jc w:val="center"/>
              <w:rPr>
                <w:color w:val="000000"/>
                <w:sz w:val="20"/>
              </w:rPr>
            </w:pPr>
            <w:r w:rsidRPr="00D373C8">
              <w:rPr>
                <w:color w:val="000000"/>
                <w:sz w:val="20"/>
              </w:rPr>
              <w:t>25%</w:t>
            </w:r>
          </w:p>
        </w:tc>
        <w:tc>
          <w:tcPr>
            <w:tcW w:w="1034" w:type="pct"/>
            <w:shd w:val="clear" w:color="auto" w:fill="auto"/>
            <w:vAlign w:val="center"/>
            <w:hideMark/>
          </w:tcPr>
          <w:p w:rsidR="006C02CB" w:rsidRPr="00D373C8" w:rsidRDefault="006C02CB" w:rsidP="006C02CB">
            <w:pPr>
              <w:ind w:firstLineChars="100" w:firstLine="200"/>
              <w:jc w:val="center"/>
              <w:rPr>
                <w:color w:val="000000"/>
                <w:sz w:val="20"/>
              </w:rPr>
            </w:pPr>
            <w:r w:rsidRPr="00D373C8">
              <w:rPr>
                <w:color w:val="000000"/>
                <w:sz w:val="20"/>
              </w:rPr>
              <w:t>50%</w:t>
            </w:r>
          </w:p>
        </w:tc>
        <w:tc>
          <w:tcPr>
            <w:tcW w:w="1043" w:type="pct"/>
            <w:shd w:val="clear" w:color="auto" w:fill="auto"/>
            <w:vAlign w:val="center"/>
            <w:hideMark/>
          </w:tcPr>
          <w:p w:rsidR="006C02CB" w:rsidRPr="00D373C8" w:rsidRDefault="006C02CB" w:rsidP="00D9732B">
            <w:pPr>
              <w:rPr>
                <w:color w:val="000000"/>
                <w:sz w:val="20"/>
              </w:rPr>
            </w:pPr>
          </w:p>
        </w:tc>
      </w:tr>
      <w:tr w:rsidR="006C02CB" w:rsidRPr="00D373C8" w:rsidTr="00D9732B">
        <w:trPr>
          <w:trHeight w:val="315"/>
        </w:trPr>
        <w:tc>
          <w:tcPr>
            <w:tcW w:w="999" w:type="pct"/>
            <w:tcBorders>
              <w:bottom w:val="single" w:sz="12" w:space="0" w:color="000000"/>
            </w:tcBorders>
            <w:shd w:val="clear" w:color="auto" w:fill="auto"/>
            <w:vAlign w:val="center"/>
            <w:hideMark/>
          </w:tcPr>
          <w:p w:rsidR="006C02CB" w:rsidRPr="00D373C8" w:rsidRDefault="006C02CB" w:rsidP="006C02CB">
            <w:pPr>
              <w:ind w:firstLineChars="100" w:firstLine="200"/>
              <w:jc w:val="center"/>
              <w:rPr>
                <w:color w:val="000000"/>
                <w:sz w:val="20"/>
                <w:szCs w:val="20"/>
              </w:rPr>
            </w:pPr>
          </w:p>
        </w:tc>
        <w:tc>
          <w:tcPr>
            <w:tcW w:w="936" w:type="pct"/>
            <w:tcBorders>
              <w:bottom w:val="single" w:sz="12" w:space="0" w:color="000000"/>
            </w:tcBorders>
            <w:shd w:val="clear" w:color="auto" w:fill="auto"/>
            <w:vAlign w:val="center"/>
            <w:hideMark/>
          </w:tcPr>
          <w:p w:rsidR="006C02CB" w:rsidRPr="00D373C8" w:rsidRDefault="006C02CB" w:rsidP="006C02CB">
            <w:pPr>
              <w:ind w:firstLineChars="100" w:firstLine="200"/>
              <w:jc w:val="center"/>
              <w:rPr>
                <w:color w:val="000000"/>
                <w:sz w:val="20"/>
                <w:szCs w:val="20"/>
              </w:rPr>
            </w:pPr>
          </w:p>
        </w:tc>
        <w:tc>
          <w:tcPr>
            <w:tcW w:w="987" w:type="pct"/>
            <w:tcBorders>
              <w:bottom w:val="single" w:sz="12" w:space="0" w:color="000000"/>
            </w:tcBorders>
            <w:shd w:val="clear" w:color="auto" w:fill="auto"/>
            <w:vAlign w:val="center"/>
            <w:hideMark/>
          </w:tcPr>
          <w:p w:rsidR="006C02CB" w:rsidRPr="00D373C8" w:rsidRDefault="006C02CB" w:rsidP="006C02CB">
            <w:pPr>
              <w:ind w:firstLineChars="100" w:firstLine="200"/>
              <w:jc w:val="center"/>
              <w:rPr>
                <w:color w:val="000000"/>
                <w:sz w:val="20"/>
                <w:szCs w:val="20"/>
              </w:rPr>
            </w:pPr>
          </w:p>
        </w:tc>
        <w:tc>
          <w:tcPr>
            <w:tcW w:w="1034" w:type="pct"/>
            <w:tcBorders>
              <w:bottom w:val="single" w:sz="12" w:space="0" w:color="000000"/>
            </w:tcBorders>
            <w:shd w:val="clear" w:color="auto" w:fill="auto"/>
            <w:vAlign w:val="center"/>
            <w:hideMark/>
          </w:tcPr>
          <w:p w:rsidR="006C02CB" w:rsidRPr="00D373C8" w:rsidRDefault="006C02CB" w:rsidP="006C02CB">
            <w:pPr>
              <w:ind w:firstLineChars="100" w:firstLine="200"/>
              <w:jc w:val="center"/>
              <w:rPr>
                <w:color w:val="000000"/>
                <w:sz w:val="20"/>
                <w:szCs w:val="20"/>
              </w:rPr>
            </w:pPr>
          </w:p>
        </w:tc>
        <w:tc>
          <w:tcPr>
            <w:tcW w:w="1043" w:type="pct"/>
            <w:tcBorders>
              <w:bottom w:val="single" w:sz="12" w:space="0" w:color="000000"/>
            </w:tcBorders>
            <w:shd w:val="clear" w:color="auto" w:fill="auto"/>
            <w:vAlign w:val="center"/>
            <w:hideMark/>
          </w:tcPr>
          <w:p w:rsidR="006C02CB" w:rsidRPr="00D373C8" w:rsidRDefault="006C02CB" w:rsidP="006C02CB">
            <w:pPr>
              <w:ind w:firstLineChars="100" w:firstLine="200"/>
              <w:jc w:val="center"/>
              <w:rPr>
                <w:color w:val="000000"/>
                <w:sz w:val="20"/>
                <w:szCs w:val="20"/>
              </w:rPr>
            </w:pPr>
          </w:p>
        </w:tc>
      </w:tr>
      <w:tr w:rsidR="006C02CB" w:rsidRPr="00D373C8" w:rsidTr="00D9732B">
        <w:trPr>
          <w:trHeight w:val="360"/>
        </w:trPr>
        <w:tc>
          <w:tcPr>
            <w:tcW w:w="999" w:type="pct"/>
            <w:shd w:val="clear" w:color="auto" w:fill="BFBFBF" w:themeFill="background1" w:themeFillShade="BF"/>
            <w:vAlign w:val="center"/>
            <w:hideMark/>
          </w:tcPr>
          <w:p w:rsidR="006C02CB" w:rsidRPr="00D373C8" w:rsidRDefault="006C02CB" w:rsidP="006C02CB">
            <w:pPr>
              <w:ind w:firstLineChars="100" w:firstLine="201"/>
              <w:jc w:val="center"/>
              <w:rPr>
                <w:b/>
                <w:bCs/>
                <w:color w:val="000000"/>
                <w:sz w:val="20"/>
                <w:u w:val="single"/>
              </w:rPr>
            </w:pPr>
            <w:r w:rsidRPr="00D373C8">
              <w:rPr>
                <w:b/>
                <w:bCs/>
                <w:color w:val="000000"/>
                <w:sz w:val="20"/>
                <w:u w:val="single"/>
              </w:rPr>
              <w:t>Recoverable</w:t>
            </w:r>
          </w:p>
        </w:tc>
        <w:tc>
          <w:tcPr>
            <w:tcW w:w="936" w:type="pct"/>
            <w:shd w:val="clear" w:color="auto" w:fill="BFBFBF" w:themeFill="background1" w:themeFillShade="BF"/>
            <w:vAlign w:val="center"/>
            <w:hideMark/>
          </w:tcPr>
          <w:p w:rsidR="006C02CB" w:rsidRPr="00D373C8" w:rsidRDefault="006C02CB" w:rsidP="006C02CB">
            <w:pPr>
              <w:ind w:firstLineChars="100" w:firstLine="200"/>
              <w:jc w:val="center"/>
              <w:rPr>
                <w:color w:val="000000"/>
                <w:sz w:val="20"/>
              </w:rPr>
            </w:pPr>
            <w:r w:rsidRPr="00D373C8">
              <w:rPr>
                <w:color w:val="000000"/>
                <w:sz w:val="20"/>
              </w:rPr>
              <w:t>Billion m</w:t>
            </w:r>
            <w:r w:rsidRPr="00D373C8">
              <w:rPr>
                <w:color w:val="000000"/>
                <w:sz w:val="20"/>
                <w:vertAlign w:val="superscript"/>
              </w:rPr>
              <w:t>3</w:t>
            </w:r>
          </w:p>
        </w:tc>
        <w:tc>
          <w:tcPr>
            <w:tcW w:w="987" w:type="pct"/>
            <w:shd w:val="clear" w:color="auto" w:fill="BFBFBF" w:themeFill="background1" w:themeFillShade="BF"/>
            <w:vAlign w:val="center"/>
            <w:hideMark/>
          </w:tcPr>
          <w:p w:rsidR="006C02CB" w:rsidRPr="00D373C8" w:rsidRDefault="006C02CB" w:rsidP="006C02CB">
            <w:pPr>
              <w:ind w:firstLineChars="100" w:firstLine="200"/>
              <w:jc w:val="center"/>
              <w:rPr>
                <w:color w:val="000000"/>
                <w:sz w:val="20"/>
              </w:rPr>
            </w:pPr>
            <w:r w:rsidRPr="00D373C8">
              <w:rPr>
                <w:color w:val="000000"/>
                <w:sz w:val="20"/>
              </w:rPr>
              <w:t>Billion m</w:t>
            </w:r>
            <w:r w:rsidRPr="00D373C8">
              <w:rPr>
                <w:color w:val="000000"/>
                <w:sz w:val="20"/>
                <w:vertAlign w:val="superscript"/>
              </w:rPr>
              <w:t>3</w:t>
            </w:r>
          </w:p>
        </w:tc>
        <w:tc>
          <w:tcPr>
            <w:tcW w:w="1034" w:type="pct"/>
            <w:shd w:val="clear" w:color="auto" w:fill="BFBFBF" w:themeFill="background1" w:themeFillShade="BF"/>
            <w:vAlign w:val="center"/>
            <w:hideMark/>
          </w:tcPr>
          <w:p w:rsidR="006C02CB" w:rsidRPr="00D373C8" w:rsidRDefault="006C02CB" w:rsidP="006C02CB">
            <w:pPr>
              <w:ind w:firstLineChars="100" w:firstLine="200"/>
              <w:jc w:val="center"/>
              <w:rPr>
                <w:color w:val="000000"/>
                <w:sz w:val="20"/>
              </w:rPr>
            </w:pPr>
            <w:r w:rsidRPr="00D373C8">
              <w:rPr>
                <w:color w:val="000000"/>
                <w:sz w:val="20"/>
              </w:rPr>
              <w:t>Billion m</w:t>
            </w:r>
            <w:r w:rsidRPr="00D373C8">
              <w:rPr>
                <w:color w:val="000000"/>
                <w:sz w:val="20"/>
                <w:vertAlign w:val="superscript"/>
              </w:rPr>
              <w:t>3</w:t>
            </w:r>
          </w:p>
        </w:tc>
        <w:tc>
          <w:tcPr>
            <w:tcW w:w="1043" w:type="pct"/>
            <w:shd w:val="clear" w:color="auto" w:fill="BFBFBF" w:themeFill="background1" w:themeFillShade="BF"/>
            <w:vAlign w:val="center"/>
            <w:hideMark/>
          </w:tcPr>
          <w:p w:rsidR="006C02CB" w:rsidRPr="00D373C8" w:rsidRDefault="006C02CB" w:rsidP="006C02CB">
            <w:pPr>
              <w:ind w:firstLineChars="100" w:firstLine="200"/>
              <w:jc w:val="center"/>
              <w:rPr>
                <w:color w:val="000000"/>
                <w:sz w:val="20"/>
              </w:rPr>
            </w:pPr>
            <w:r w:rsidRPr="00D373C8">
              <w:rPr>
                <w:color w:val="000000"/>
                <w:sz w:val="20"/>
              </w:rPr>
              <w:t>Billion m</w:t>
            </w:r>
            <w:r w:rsidRPr="00D373C8">
              <w:rPr>
                <w:color w:val="000000"/>
                <w:sz w:val="20"/>
                <w:vertAlign w:val="superscript"/>
              </w:rPr>
              <w:t>3</w:t>
            </w:r>
          </w:p>
        </w:tc>
      </w:tr>
      <w:tr w:rsidR="006C02CB" w:rsidRPr="00D373C8" w:rsidTr="00D9732B">
        <w:trPr>
          <w:trHeight w:val="315"/>
        </w:trPr>
        <w:tc>
          <w:tcPr>
            <w:tcW w:w="999" w:type="pct"/>
            <w:shd w:val="clear" w:color="auto" w:fill="auto"/>
            <w:vAlign w:val="center"/>
            <w:hideMark/>
          </w:tcPr>
          <w:p w:rsidR="006C02CB" w:rsidRPr="00D373C8" w:rsidRDefault="006C02CB" w:rsidP="00D9732B">
            <w:pPr>
              <w:jc w:val="center"/>
              <w:rPr>
                <w:color w:val="000000"/>
                <w:sz w:val="20"/>
              </w:rPr>
            </w:pPr>
            <w:r w:rsidRPr="00D373C8">
              <w:rPr>
                <w:color w:val="000000"/>
                <w:sz w:val="20"/>
              </w:rPr>
              <w:t>Grand Rapids (Upper &amp; Lower)</w:t>
            </w:r>
          </w:p>
        </w:tc>
        <w:tc>
          <w:tcPr>
            <w:tcW w:w="936" w:type="pct"/>
            <w:shd w:val="clear" w:color="auto" w:fill="auto"/>
            <w:vAlign w:val="center"/>
            <w:hideMark/>
          </w:tcPr>
          <w:p w:rsidR="006C02CB" w:rsidRPr="00D373C8" w:rsidRDefault="006C02CB" w:rsidP="00D9732B">
            <w:pPr>
              <w:jc w:val="center"/>
              <w:rPr>
                <w:color w:val="000000"/>
                <w:sz w:val="20"/>
              </w:rPr>
            </w:pPr>
            <w:r w:rsidRPr="00D373C8">
              <w:rPr>
                <w:color w:val="000000"/>
                <w:sz w:val="20"/>
              </w:rPr>
              <w:t>0.51</w:t>
            </w:r>
          </w:p>
        </w:tc>
        <w:tc>
          <w:tcPr>
            <w:tcW w:w="987" w:type="pct"/>
            <w:shd w:val="clear" w:color="auto" w:fill="auto"/>
            <w:vAlign w:val="center"/>
            <w:hideMark/>
          </w:tcPr>
          <w:p w:rsidR="006C02CB" w:rsidRPr="00D373C8" w:rsidRDefault="006C02CB" w:rsidP="00D9732B">
            <w:pPr>
              <w:jc w:val="center"/>
              <w:rPr>
                <w:color w:val="000000"/>
                <w:sz w:val="20"/>
              </w:rPr>
            </w:pPr>
            <w:r w:rsidRPr="00D373C8">
              <w:rPr>
                <w:color w:val="000000"/>
                <w:sz w:val="20"/>
              </w:rPr>
              <w:t>0.64</w:t>
            </w:r>
          </w:p>
        </w:tc>
        <w:tc>
          <w:tcPr>
            <w:tcW w:w="1034" w:type="pct"/>
            <w:shd w:val="clear" w:color="auto" w:fill="auto"/>
            <w:vAlign w:val="center"/>
            <w:hideMark/>
          </w:tcPr>
          <w:p w:rsidR="006C02CB" w:rsidRPr="00D373C8" w:rsidRDefault="006C02CB" w:rsidP="00D9732B">
            <w:pPr>
              <w:jc w:val="center"/>
              <w:rPr>
                <w:color w:val="000000"/>
                <w:sz w:val="20"/>
              </w:rPr>
            </w:pPr>
            <w:r w:rsidRPr="00D373C8">
              <w:rPr>
                <w:color w:val="000000"/>
                <w:sz w:val="20"/>
              </w:rPr>
              <w:t>1.28</w:t>
            </w:r>
          </w:p>
        </w:tc>
        <w:tc>
          <w:tcPr>
            <w:tcW w:w="1043" w:type="pct"/>
            <w:shd w:val="clear" w:color="auto" w:fill="auto"/>
            <w:vAlign w:val="center"/>
            <w:hideMark/>
          </w:tcPr>
          <w:p w:rsidR="006C02CB" w:rsidRPr="00D373C8" w:rsidRDefault="006C02CB" w:rsidP="00D9732B">
            <w:pPr>
              <w:jc w:val="center"/>
              <w:rPr>
                <w:color w:val="000000"/>
                <w:sz w:val="20"/>
              </w:rPr>
            </w:pPr>
            <w:r w:rsidRPr="00D373C8">
              <w:rPr>
                <w:color w:val="000000"/>
                <w:sz w:val="20"/>
              </w:rPr>
              <w:t>2.43</w:t>
            </w:r>
          </w:p>
        </w:tc>
      </w:tr>
      <w:tr w:rsidR="006C02CB" w:rsidRPr="00D373C8" w:rsidTr="00D9732B">
        <w:trPr>
          <w:trHeight w:val="315"/>
        </w:trPr>
        <w:tc>
          <w:tcPr>
            <w:tcW w:w="999" w:type="pct"/>
            <w:shd w:val="clear" w:color="auto" w:fill="auto"/>
            <w:vAlign w:val="center"/>
            <w:hideMark/>
          </w:tcPr>
          <w:p w:rsidR="006C02CB" w:rsidRPr="00D373C8" w:rsidRDefault="006C02CB" w:rsidP="00D9732B">
            <w:pPr>
              <w:jc w:val="center"/>
              <w:rPr>
                <w:color w:val="000000"/>
                <w:sz w:val="20"/>
              </w:rPr>
            </w:pPr>
            <w:r w:rsidRPr="00D373C8">
              <w:rPr>
                <w:color w:val="000000"/>
                <w:sz w:val="20"/>
              </w:rPr>
              <w:t>Clearwater</w:t>
            </w:r>
          </w:p>
        </w:tc>
        <w:tc>
          <w:tcPr>
            <w:tcW w:w="936" w:type="pct"/>
            <w:shd w:val="clear" w:color="auto" w:fill="auto"/>
            <w:vAlign w:val="center"/>
            <w:hideMark/>
          </w:tcPr>
          <w:p w:rsidR="006C02CB" w:rsidRPr="00D373C8" w:rsidRDefault="006C02CB" w:rsidP="00D9732B">
            <w:pPr>
              <w:jc w:val="center"/>
              <w:rPr>
                <w:color w:val="000000"/>
                <w:sz w:val="20"/>
              </w:rPr>
            </w:pPr>
            <w:r w:rsidRPr="00D373C8">
              <w:rPr>
                <w:color w:val="000000"/>
                <w:sz w:val="20"/>
              </w:rPr>
              <w:t>0</w:t>
            </w:r>
          </w:p>
        </w:tc>
        <w:tc>
          <w:tcPr>
            <w:tcW w:w="987" w:type="pct"/>
            <w:shd w:val="clear" w:color="auto" w:fill="auto"/>
            <w:vAlign w:val="center"/>
            <w:hideMark/>
          </w:tcPr>
          <w:p w:rsidR="006C02CB" w:rsidRPr="00D373C8" w:rsidRDefault="006C02CB" w:rsidP="00D9732B">
            <w:pPr>
              <w:jc w:val="center"/>
              <w:rPr>
                <w:color w:val="000000"/>
                <w:sz w:val="20"/>
              </w:rPr>
            </w:pPr>
            <w:r w:rsidRPr="00D373C8">
              <w:rPr>
                <w:color w:val="000000"/>
                <w:sz w:val="20"/>
              </w:rPr>
              <w:t>1.89</w:t>
            </w:r>
          </w:p>
        </w:tc>
        <w:tc>
          <w:tcPr>
            <w:tcW w:w="1034" w:type="pct"/>
            <w:shd w:val="clear" w:color="auto" w:fill="auto"/>
            <w:vAlign w:val="center"/>
            <w:hideMark/>
          </w:tcPr>
          <w:p w:rsidR="006C02CB" w:rsidRPr="00D373C8" w:rsidRDefault="006C02CB" w:rsidP="00D9732B">
            <w:pPr>
              <w:jc w:val="center"/>
              <w:rPr>
                <w:color w:val="000000"/>
                <w:sz w:val="20"/>
              </w:rPr>
            </w:pPr>
            <w:r w:rsidRPr="00D373C8">
              <w:rPr>
                <w:color w:val="000000"/>
                <w:sz w:val="20"/>
              </w:rPr>
              <w:t>0.94</w:t>
            </w:r>
          </w:p>
        </w:tc>
        <w:tc>
          <w:tcPr>
            <w:tcW w:w="1043" w:type="pct"/>
            <w:shd w:val="clear" w:color="auto" w:fill="auto"/>
            <w:vAlign w:val="center"/>
            <w:hideMark/>
          </w:tcPr>
          <w:p w:rsidR="006C02CB" w:rsidRPr="00D373C8" w:rsidRDefault="006C02CB" w:rsidP="00D9732B">
            <w:pPr>
              <w:jc w:val="center"/>
              <w:rPr>
                <w:color w:val="000000"/>
                <w:sz w:val="20"/>
              </w:rPr>
            </w:pPr>
            <w:r w:rsidRPr="00D373C8">
              <w:rPr>
                <w:color w:val="000000"/>
                <w:sz w:val="20"/>
              </w:rPr>
              <w:t>2.82</w:t>
            </w:r>
          </w:p>
        </w:tc>
      </w:tr>
      <w:tr w:rsidR="006C02CB" w:rsidRPr="00D373C8" w:rsidTr="00D9732B">
        <w:trPr>
          <w:trHeight w:val="315"/>
        </w:trPr>
        <w:tc>
          <w:tcPr>
            <w:tcW w:w="999" w:type="pct"/>
            <w:shd w:val="clear" w:color="auto" w:fill="auto"/>
            <w:vAlign w:val="center"/>
            <w:hideMark/>
          </w:tcPr>
          <w:p w:rsidR="006C02CB" w:rsidRPr="00D373C8" w:rsidRDefault="006C02CB" w:rsidP="00D9732B">
            <w:pPr>
              <w:jc w:val="center"/>
              <w:rPr>
                <w:color w:val="000000"/>
                <w:sz w:val="20"/>
              </w:rPr>
            </w:pPr>
            <w:r w:rsidRPr="00D373C8">
              <w:rPr>
                <w:color w:val="000000"/>
                <w:sz w:val="20"/>
              </w:rPr>
              <w:t>Wabiskaw/ Ft. McMurray</w:t>
            </w:r>
          </w:p>
        </w:tc>
        <w:tc>
          <w:tcPr>
            <w:tcW w:w="936" w:type="pct"/>
            <w:shd w:val="clear" w:color="auto" w:fill="auto"/>
            <w:vAlign w:val="center"/>
            <w:hideMark/>
          </w:tcPr>
          <w:p w:rsidR="006C02CB" w:rsidRPr="00D373C8" w:rsidRDefault="006C02CB" w:rsidP="00D9732B">
            <w:pPr>
              <w:jc w:val="center"/>
              <w:rPr>
                <w:color w:val="000000"/>
                <w:sz w:val="20"/>
              </w:rPr>
            </w:pPr>
            <w:r w:rsidRPr="00D373C8">
              <w:rPr>
                <w:color w:val="000000"/>
                <w:sz w:val="20"/>
              </w:rPr>
              <w:t>0</w:t>
            </w:r>
          </w:p>
        </w:tc>
        <w:tc>
          <w:tcPr>
            <w:tcW w:w="987" w:type="pct"/>
            <w:shd w:val="clear" w:color="auto" w:fill="auto"/>
            <w:vAlign w:val="center"/>
            <w:hideMark/>
          </w:tcPr>
          <w:p w:rsidR="006C02CB" w:rsidRPr="00D373C8" w:rsidRDefault="006C02CB" w:rsidP="00D9732B">
            <w:pPr>
              <w:jc w:val="center"/>
              <w:rPr>
                <w:color w:val="000000"/>
                <w:sz w:val="20"/>
              </w:rPr>
            </w:pPr>
            <w:r w:rsidRPr="00D373C8">
              <w:rPr>
                <w:color w:val="000000"/>
                <w:sz w:val="20"/>
              </w:rPr>
              <w:t>1.07</w:t>
            </w:r>
          </w:p>
        </w:tc>
        <w:tc>
          <w:tcPr>
            <w:tcW w:w="1034" w:type="pct"/>
            <w:shd w:val="clear" w:color="auto" w:fill="auto"/>
            <w:vAlign w:val="center"/>
            <w:hideMark/>
          </w:tcPr>
          <w:p w:rsidR="006C02CB" w:rsidRPr="00D373C8" w:rsidRDefault="006C02CB" w:rsidP="00D9732B">
            <w:pPr>
              <w:jc w:val="center"/>
              <w:rPr>
                <w:color w:val="000000"/>
                <w:sz w:val="20"/>
              </w:rPr>
            </w:pPr>
            <w:r w:rsidRPr="00D373C8">
              <w:rPr>
                <w:color w:val="000000"/>
                <w:sz w:val="20"/>
              </w:rPr>
              <w:t>0</w:t>
            </w:r>
          </w:p>
        </w:tc>
        <w:tc>
          <w:tcPr>
            <w:tcW w:w="1043" w:type="pct"/>
            <w:shd w:val="clear" w:color="auto" w:fill="auto"/>
            <w:vAlign w:val="center"/>
            <w:hideMark/>
          </w:tcPr>
          <w:p w:rsidR="006C02CB" w:rsidRPr="00D373C8" w:rsidRDefault="006C02CB" w:rsidP="00D9732B">
            <w:pPr>
              <w:jc w:val="center"/>
              <w:rPr>
                <w:color w:val="000000"/>
                <w:sz w:val="20"/>
              </w:rPr>
            </w:pPr>
            <w:r w:rsidRPr="00D373C8">
              <w:rPr>
                <w:color w:val="000000"/>
                <w:sz w:val="20"/>
              </w:rPr>
              <w:t>1.07</w:t>
            </w:r>
          </w:p>
        </w:tc>
      </w:tr>
      <w:tr w:rsidR="006C02CB" w:rsidRPr="00D373C8" w:rsidTr="00D9732B">
        <w:trPr>
          <w:trHeight w:val="315"/>
        </w:trPr>
        <w:tc>
          <w:tcPr>
            <w:tcW w:w="999" w:type="pct"/>
            <w:shd w:val="clear" w:color="auto" w:fill="auto"/>
            <w:vAlign w:val="center"/>
            <w:hideMark/>
          </w:tcPr>
          <w:p w:rsidR="006C02CB" w:rsidRPr="00D373C8" w:rsidRDefault="006C02CB" w:rsidP="00D9732B">
            <w:pPr>
              <w:jc w:val="center"/>
              <w:rPr>
                <w:b/>
                <w:color w:val="000000"/>
                <w:sz w:val="20"/>
              </w:rPr>
            </w:pPr>
            <w:r w:rsidRPr="00D373C8">
              <w:rPr>
                <w:b/>
                <w:color w:val="000000"/>
                <w:sz w:val="20"/>
              </w:rPr>
              <w:t>Total</w:t>
            </w:r>
          </w:p>
        </w:tc>
        <w:tc>
          <w:tcPr>
            <w:tcW w:w="936" w:type="pct"/>
            <w:shd w:val="clear" w:color="auto" w:fill="auto"/>
            <w:vAlign w:val="center"/>
            <w:hideMark/>
          </w:tcPr>
          <w:p w:rsidR="006C02CB" w:rsidRPr="00D373C8" w:rsidRDefault="006C02CB" w:rsidP="00D9732B">
            <w:pPr>
              <w:jc w:val="center"/>
              <w:rPr>
                <w:b/>
                <w:color w:val="000000"/>
                <w:sz w:val="20"/>
              </w:rPr>
            </w:pPr>
            <w:r w:rsidRPr="00D373C8">
              <w:rPr>
                <w:b/>
                <w:color w:val="000000"/>
                <w:sz w:val="20"/>
              </w:rPr>
              <w:t>0.51</w:t>
            </w:r>
          </w:p>
        </w:tc>
        <w:tc>
          <w:tcPr>
            <w:tcW w:w="987" w:type="pct"/>
            <w:shd w:val="clear" w:color="auto" w:fill="auto"/>
            <w:vAlign w:val="center"/>
            <w:hideMark/>
          </w:tcPr>
          <w:p w:rsidR="006C02CB" w:rsidRPr="00D373C8" w:rsidRDefault="006C02CB" w:rsidP="00D9732B">
            <w:pPr>
              <w:jc w:val="center"/>
              <w:rPr>
                <w:b/>
                <w:color w:val="000000"/>
                <w:sz w:val="20"/>
              </w:rPr>
            </w:pPr>
            <w:r w:rsidRPr="00D373C8">
              <w:rPr>
                <w:b/>
                <w:color w:val="000000"/>
                <w:sz w:val="20"/>
              </w:rPr>
              <w:t>3.60</w:t>
            </w:r>
          </w:p>
        </w:tc>
        <w:tc>
          <w:tcPr>
            <w:tcW w:w="1034" w:type="pct"/>
            <w:shd w:val="clear" w:color="auto" w:fill="auto"/>
            <w:vAlign w:val="center"/>
            <w:hideMark/>
          </w:tcPr>
          <w:p w:rsidR="006C02CB" w:rsidRPr="00D373C8" w:rsidRDefault="006C02CB" w:rsidP="00D9732B">
            <w:pPr>
              <w:jc w:val="center"/>
              <w:rPr>
                <w:b/>
                <w:color w:val="000000"/>
                <w:sz w:val="20"/>
              </w:rPr>
            </w:pPr>
            <w:r w:rsidRPr="00D373C8">
              <w:rPr>
                <w:b/>
                <w:color w:val="000000"/>
                <w:sz w:val="20"/>
              </w:rPr>
              <w:t>2.22</w:t>
            </w:r>
          </w:p>
        </w:tc>
        <w:tc>
          <w:tcPr>
            <w:tcW w:w="1043" w:type="pct"/>
            <w:shd w:val="clear" w:color="auto" w:fill="auto"/>
            <w:vAlign w:val="center"/>
            <w:hideMark/>
          </w:tcPr>
          <w:p w:rsidR="006C02CB" w:rsidRPr="00D373C8" w:rsidRDefault="006C02CB" w:rsidP="00D9732B">
            <w:pPr>
              <w:jc w:val="center"/>
              <w:rPr>
                <w:b/>
                <w:color w:val="000000"/>
                <w:sz w:val="20"/>
              </w:rPr>
            </w:pPr>
            <w:r w:rsidRPr="00D373C8">
              <w:rPr>
                <w:b/>
                <w:color w:val="000000"/>
                <w:sz w:val="20"/>
              </w:rPr>
              <w:t>6.32</w:t>
            </w:r>
          </w:p>
        </w:tc>
      </w:tr>
      <w:tr w:rsidR="006C02CB" w:rsidRPr="00D373C8" w:rsidTr="00D9732B">
        <w:trPr>
          <w:trHeight w:val="315"/>
        </w:trPr>
        <w:tc>
          <w:tcPr>
            <w:tcW w:w="999" w:type="pct"/>
            <w:shd w:val="clear" w:color="auto" w:fill="auto"/>
            <w:vAlign w:val="center"/>
          </w:tcPr>
          <w:p w:rsidR="006C02CB" w:rsidRPr="00D373C8" w:rsidRDefault="006C02CB" w:rsidP="00D9732B">
            <w:pPr>
              <w:jc w:val="center"/>
              <w:rPr>
                <w:b/>
                <w:color w:val="000000"/>
                <w:sz w:val="20"/>
              </w:rPr>
            </w:pPr>
          </w:p>
        </w:tc>
        <w:tc>
          <w:tcPr>
            <w:tcW w:w="936" w:type="pct"/>
            <w:shd w:val="clear" w:color="auto" w:fill="auto"/>
            <w:vAlign w:val="center"/>
          </w:tcPr>
          <w:p w:rsidR="006C02CB" w:rsidRPr="00D373C8" w:rsidRDefault="006C02CB" w:rsidP="00D9732B">
            <w:pPr>
              <w:jc w:val="center"/>
              <w:rPr>
                <w:b/>
                <w:color w:val="000000"/>
                <w:sz w:val="20"/>
              </w:rPr>
            </w:pPr>
          </w:p>
        </w:tc>
        <w:tc>
          <w:tcPr>
            <w:tcW w:w="987" w:type="pct"/>
            <w:shd w:val="clear" w:color="auto" w:fill="auto"/>
            <w:vAlign w:val="center"/>
          </w:tcPr>
          <w:p w:rsidR="006C02CB" w:rsidRPr="00D373C8" w:rsidRDefault="006C02CB" w:rsidP="00D9732B">
            <w:pPr>
              <w:jc w:val="center"/>
              <w:rPr>
                <w:b/>
                <w:color w:val="000000"/>
                <w:sz w:val="20"/>
              </w:rPr>
            </w:pPr>
          </w:p>
        </w:tc>
        <w:tc>
          <w:tcPr>
            <w:tcW w:w="1034" w:type="pct"/>
            <w:shd w:val="clear" w:color="auto" w:fill="auto"/>
            <w:vAlign w:val="center"/>
          </w:tcPr>
          <w:p w:rsidR="006C02CB" w:rsidRPr="00D373C8" w:rsidRDefault="006C02CB" w:rsidP="00D9732B">
            <w:pPr>
              <w:jc w:val="center"/>
              <w:rPr>
                <w:b/>
                <w:color w:val="000000"/>
                <w:sz w:val="20"/>
              </w:rPr>
            </w:pPr>
          </w:p>
        </w:tc>
        <w:tc>
          <w:tcPr>
            <w:tcW w:w="1043" w:type="pct"/>
            <w:shd w:val="clear" w:color="auto" w:fill="auto"/>
            <w:vAlign w:val="center"/>
          </w:tcPr>
          <w:p w:rsidR="006C02CB" w:rsidRPr="00D373C8" w:rsidRDefault="006C02CB" w:rsidP="00D9732B">
            <w:pPr>
              <w:jc w:val="center"/>
              <w:rPr>
                <w:color w:val="000000"/>
                <w:sz w:val="20"/>
              </w:rPr>
            </w:pPr>
            <w:r w:rsidRPr="00D373C8">
              <w:rPr>
                <w:color w:val="000000"/>
                <w:sz w:val="20"/>
              </w:rPr>
              <w:t>21.7% Overall</w:t>
            </w:r>
          </w:p>
        </w:tc>
      </w:tr>
    </w:tbl>
    <w:p w:rsidR="006C02CB" w:rsidRPr="00D373C8" w:rsidRDefault="006C02CB" w:rsidP="006C02CB">
      <w:pPr>
        <w:spacing w:after="120"/>
        <w:ind w:left="720"/>
      </w:pPr>
    </w:p>
    <w:p w:rsidR="006C02CB" w:rsidRPr="00EE4ED6" w:rsidRDefault="006C02CB" w:rsidP="006C02CB">
      <w:pPr>
        <w:rPr>
          <w:bCs/>
        </w:rPr>
      </w:pPr>
      <w:r w:rsidRPr="00EE4ED6">
        <w:t xml:space="preserve">The In-place numbers and the Recoverable fraction in the above table are taken from ERCB’s report: </w:t>
      </w:r>
      <w:r w:rsidRPr="00EE4ED6">
        <w:rPr>
          <w:b/>
          <w:bCs/>
        </w:rPr>
        <w:t xml:space="preserve">ST98-2011: Alberta’s Energy Reserves 2010 and Supply/Demand Outlook 2011-2020 </w:t>
      </w:r>
      <w:r w:rsidRPr="00EE4ED6">
        <w:rPr>
          <w:bCs/>
        </w:rPr>
        <w:t>dated June 2011</w:t>
      </w:r>
      <w:r w:rsidRPr="00EE4ED6">
        <w:rPr>
          <w:bCs/>
          <w:vertAlign w:val="superscript"/>
        </w:rPr>
        <w:t>1</w:t>
      </w:r>
      <w:r w:rsidRPr="00EE4ED6">
        <w:rPr>
          <w:bCs/>
        </w:rPr>
        <w:t>.</w:t>
      </w:r>
    </w:p>
    <w:p w:rsidR="00D756AF" w:rsidRPr="00EE4ED6" w:rsidRDefault="00D756AF" w:rsidP="006C02CB">
      <w:pPr>
        <w:rPr>
          <w:bCs/>
        </w:rPr>
      </w:pPr>
    </w:p>
    <w:p w:rsidR="006C02CB" w:rsidRPr="00EE4ED6" w:rsidRDefault="006C02CB" w:rsidP="006C02CB">
      <w:r w:rsidRPr="00EE4ED6">
        <w:t>Table 3.3 from this report is reproduced below to demonstrate the Cold Lake Oil sands deposit to be estimated at 29.09 billion m</w:t>
      </w:r>
      <w:r w:rsidRPr="00EE4ED6">
        <w:rPr>
          <w:vertAlign w:val="superscript"/>
        </w:rPr>
        <w:t>3</w:t>
      </w:r>
      <w:r w:rsidRPr="00EE4ED6">
        <w:t xml:space="preserve"> of bitumen and heavy oil.</w:t>
      </w:r>
    </w:p>
    <w:p w:rsidR="006C02CB" w:rsidRPr="00EE4ED6" w:rsidRDefault="006C02CB" w:rsidP="006C02CB"/>
    <w:p w:rsidR="006C02CB" w:rsidRPr="00D373C8" w:rsidRDefault="006C02CB" w:rsidP="006C02CB">
      <w:r w:rsidRPr="00D373C8">
        <w:rPr>
          <w:noProof/>
          <w:lang w:val="en-US"/>
        </w:rPr>
        <w:lastRenderedPageBreak/>
        <w:drawing>
          <wp:inline distT="0" distB="0" distL="0" distR="0">
            <wp:extent cx="5551170" cy="4154618"/>
            <wp:effectExtent l="19050" t="19050" r="11430" b="17332"/>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5304" cy="4157712"/>
                    </a:xfrm>
                    <a:prstGeom prst="rect">
                      <a:avLst/>
                    </a:prstGeom>
                    <a:noFill/>
                    <a:ln w="25400">
                      <a:solidFill>
                        <a:schemeClr val="tx1"/>
                      </a:solidFill>
                    </a:ln>
                    <a:effectLst>
                      <a:innerShdw blurRad="114300">
                        <a:prstClr val="black"/>
                      </a:innerShdw>
                    </a:effectLst>
                  </pic:spPr>
                </pic:pic>
              </a:graphicData>
            </a:graphic>
          </wp:inline>
        </w:drawing>
      </w:r>
    </w:p>
    <w:p w:rsidR="006C02CB" w:rsidRPr="00D373C8" w:rsidRDefault="006C02CB" w:rsidP="006C02CB"/>
    <w:p w:rsidR="006C02CB" w:rsidRPr="00D373C8" w:rsidRDefault="006C02CB" w:rsidP="006C02CB">
      <w:pPr>
        <w:rPr>
          <w:sz w:val="28"/>
          <w:u w:val="single"/>
        </w:rPr>
      </w:pPr>
      <w:r w:rsidRPr="00D373C8">
        <w:rPr>
          <w:sz w:val="28"/>
          <w:u w:val="single"/>
        </w:rPr>
        <w:br w:type="page"/>
      </w:r>
    </w:p>
    <w:p w:rsidR="006C02CB" w:rsidRPr="00EE4ED6" w:rsidRDefault="006C02CB" w:rsidP="006C02CB">
      <w:pPr>
        <w:rPr>
          <w:u w:val="single"/>
        </w:rPr>
      </w:pPr>
      <w:r w:rsidRPr="00EE4ED6">
        <w:rPr>
          <w:u w:val="single"/>
        </w:rPr>
        <w:lastRenderedPageBreak/>
        <w:t>Recovery Factors</w:t>
      </w:r>
    </w:p>
    <w:p w:rsidR="006C02CB" w:rsidRPr="00EE4ED6" w:rsidRDefault="006C02CB" w:rsidP="006C02CB">
      <w:r w:rsidRPr="00EE4ED6">
        <w:t>The recovery factors for Primary Cold Heavy Oil Production, Cyclic Steam Stimulation (CSS), and Steam Assisted Gravity Drainage (SAGD) have been taken respectively as 5%, 25% and 50% in line with ERCB’s estimates</w:t>
      </w:r>
      <w:r w:rsidRPr="00EE4ED6">
        <w:rPr>
          <w:vertAlign w:val="superscript"/>
        </w:rPr>
        <w:t>1</w:t>
      </w:r>
      <w:r w:rsidRPr="00EE4ED6">
        <w:t>. A brief description follows for each Recovery method.</w:t>
      </w:r>
    </w:p>
    <w:p w:rsidR="006C02CB" w:rsidRPr="00EE4ED6" w:rsidRDefault="006C02CB" w:rsidP="006C02CB"/>
    <w:p w:rsidR="006C02CB" w:rsidRPr="00EE4ED6" w:rsidRDefault="006C02CB" w:rsidP="006C02CB">
      <w:pPr>
        <w:rPr>
          <w:b/>
        </w:rPr>
      </w:pPr>
      <w:r w:rsidRPr="00EE4ED6">
        <w:rPr>
          <w:b/>
        </w:rPr>
        <w:t>Primary Recovery</w:t>
      </w:r>
    </w:p>
    <w:p w:rsidR="006C02CB" w:rsidRPr="00EE4ED6" w:rsidRDefault="006C02CB" w:rsidP="006C02CB">
      <w:r w:rsidRPr="00EE4ED6">
        <w:t>ERCB estimates the Primary Recovery factor in the Cold Lake Area to be 5%. This is borne out by empirical evidence from primary projects operating in the area as represented in Table 3.5 on the following page which is extracted from</w:t>
      </w:r>
      <w:r w:rsidR="00C83EBE" w:rsidRPr="00EE4ED6">
        <w:t xml:space="preserve"> the</w:t>
      </w:r>
      <w:r w:rsidRPr="00EE4ED6">
        <w:t xml:space="preserve"> ST98-2011</w:t>
      </w:r>
      <w:r w:rsidRPr="00EE4ED6">
        <w:rPr>
          <w:vertAlign w:val="superscript"/>
        </w:rPr>
        <w:t>1</w:t>
      </w:r>
      <w:r w:rsidRPr="00EE4ED6">
        <w:t xml:space="preserve"> report. This number appears reasonable based on &gt;500 million barrels of oil cumulatively recovered by the end of December 2010 through primary methods. This number does not explicitly indicate potential recovery from Enhanced recovery methods such as waterflooding, polymer flooding, or CO</w:t>
      </w:r>
      <w:r w:rsidRPr="00EE4ED6">
        <w:rPr>
          <w:vertAlign w:val="subscript"/>
        </w:rPr>
        <w:t>2</w:t>
      </w:r>
      <w:r w:rsidRPr="00EE4ED6">
        <w:t xml:space="preserve"> injection which can raise the recovery factor in the range of 8 -10%. For the purpose of this report </w:t>
      </w:r>
      <w:r w:rsidR="000326A0" w:rsidRPr="00EE4ED6">
        <w:t>we have</w:t>
      </w:r>
      <w:r w:rsidRPr="00EE4ED6">
        <w:t xml:space="preserve"> aimed to be conservative in estimates of recoverable oil</w:t>
      </w:r>
      <w:r w:rsidR="00C83EBE" w:rsidRPr="00EE4ED6">
        <w:t>,</w:t>
      </w:r>
      <w:r w:rsidRPr="00EE4ED6">
        <w:t xml:space="preserve"> therefore 5% is taken as an overall recovery factor for primary production from Cold Lake oil sands deposit. </w:t>
      </w:r>
    </w:p>
    <w:p w:rsidR="006C02CB" w:rsidRPr="00D373C8" w:rsidRDefault="006C02CB" w:rsidP="006C02CB"/>
    <w:p w:rsidR="006C02CB" w:rsidRPr="00D373C8" w:rsidRDefault="006C02CB" w:rsidP="006C02CB">
      <w:r w:rsidRPr="00D373C8">
        <w:rPr>
          <w:noProof/>
          <w:lang w:val="en-US"/>
        </w:rPr>
        <w:drawing>
          <wp:inline distT="0" distB="0" distL="0" distR="0">
            <wp:extent cx="5943600" cy="4318476"/>
            <wp:effectExtent l="19050" t="19050" r="19050" b="24924"/>
            <wp:docPr id="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318476"/>
                    </a:xfrm>
                    <a:prstGeom prst="rect">
                      <a:avLst/>
                    </a:prstGeom>
                    <a:noFill/>
                    <a:ln w="25400">
                      <a:solidFill>
                        <a:schemeClr val="tx1"/>
                      </a:solidFill>
                    </a:ln>
                    <a:effectLst>
                      <a:innerShdw blurRad="114300">
                        <a:prstClr val="black"/>
                      </a:innerShdw>
                    </a:effectLst>
                  </pic:spPr>
                </pic:pic>
              </a:graphicData>
            </a:graphic>
          </wp:inline>
        </w:drawing>
      </w:r>
    </w:p>
    <w:p w:rsidR="006C02CB" w:rsidRPr="00D373C8" w:rsidRDefault="006C02CB" w:rsidP="006C02CB">
      <w:pPr>
        <w:rPr>
          <w:b/>
        </w:rPr>
      </w:pPr>
    </w:p>
    <w:p w:rsidR="006C02CB" w:rsidRPr="00D373C8" w:rsidRDefault="006C02CB">
      <w:pPr>
        <w:spacing w:after="200" w:line="276" w:lineRule="auto"/>
        <w:rPr>
          <w:b/>
        </w:rPr>
      </w:pPr>
      <w:r w:rsidRPr="00D373C8">
        <w:rPr>
          <w:b/>
        </w:rPr>
        <w:br w:type="page"/>
      </w:r>
    </w:p>
    <w:p w:rsidR="006C02CB" w:rsidRPr="00EE4ED6" w:rsidRDefault="006C02CB" w:rsidP="006C02CB">
      <w:pPr>
        <w:rPr>
          <w:b/>
        </w:rPr>
      </w:pPr>
      <w:r w:rsidRPr="00EE4ED6">
        <w:rPr>
          <w:b/>
        </w:rPr>
        <w:lastRenderedPageBreak/>
        <w:t>In-situ thermal recovery – Cyclic Steam Stimulation</w:t>
      </w:r>
    </w:p>
    <w:p w:rsidR="006C02CB" w:rsidRPr="00EE4ED6" w:rsidRDefault="006C02CB" w:rsidP="006C02CB">
      <w:r w:rsidRPr="00EE4ED6">
        <w:t>As can be seen from the table above</w:t>
      </w:r>
      <w:r w:rsidR="00FA4BB2" w:rsidRPr="00EE4ED6">
        <w:t>,</w:t>
      </w:r>
      <w:r w:rsidRPr="00EE4ED6">
        <w:t xml:space="preserve"> more tha</w:t>
      </w:r>
      <w:r w:rsidR="00C83EBE" w:rsidRPr="00EE4ED6">
        <w:t>n 1.3 billion barrels of oil have</w:t>
      </w:r>
      <w:r w:rsidRPr="00EE4ED6">
        <w:t xml:space="preserve"> been recovered from the Cold Lake area through Cycli</w:t>
      </w:r>
      <w:r w:rsidR="00D756AF" w:rsidRPr="00EE4ED6">
        <w:t>c Steam Stimulation (CSS). The i</w:t>
      </w:r>
      <w:r w:rsidRPr="00EE4ED6">
        <w:t>n-situ performance report</w:t>
      </w:r>
      <w:r w:rsidRPr="00EE4ED6">
        <w:rPr>
          <w:vertAlign w:val="superscript"/>
        </w:rPr>
        <w:t>2</w:t>
      </w:r>
      <w:r w:rsidRPr="00EE4ED6">
        <w:t xml:space="preserve"> from the major operator of CSS in the Cold Lake</w:t>
      </w:r>
      <w:r w:rsidR="00FA4BB2" w:rsidRPr="00EE4ED6">
        <w:t xml:space="preserve"> Area (</w:t>
      </w:r>
      <w:r w:rsidRPr="00EE4ED6">
        <w:t>Imperial Oil</w:t>
      </w:r>
      <w:r w:rsidR="00FA4BB2" w:rsidRPr="00EE4ED6">
        <w:t>)</w:t>
      </w:r>
      <w:r w:rsidRPr="00EE4ED6">
        <w:t xml:space="preserve"> reveals that Imperial is forecasting recoveries in the range of 30-40% on some CSS pads, a part of which is anticipated through their LASER (Liquid Addition to Steam for Enhancing Recovery) process. Imperial estimates that LASER can enhance recovery by &gt;5% of the estimated bitumen in place.</w:t>
      </w:r>
    </w:p>
    <w:p w:rsidR="000326A0" w:rsidRPr="00EE4ED6" w:rsidRDefault="000326A0" w:rsidP="006C02CB"/>
    <w:p w:rsidR="006C02CB" w:rsidRPr="00EE4ED6" w:rsidRDefault="00D756AF" w:rsidP="006C02CB">
      <w:r w:rsidRPr="00EE4ED6">
        <w:t>CNRL’s i</w:t>
      </w:r>
      <w:r w:rsidR="006C02CB" w:rsidRPr="00EE4ED6">
        <w:t>nsitu performance presentation for Wolf Lake</w:t>
      </w:r>
      <w:r w:rsidR="006C02CB" w:rsidRPr="00EE4ED6">
        <w:rPr>
          <w:vertAlign w:val="superscript"/>
        </w:rPr>
        <w:t>3</w:t>
      </w:r>
      <w:r w:rsidR="006C02CB" w:rsidRPr="00EE4ED6">
        <w:t xml:space="preserve"> estimates CSS recovery factor to be 21 – 26% for Valley fill CSS area and 25 – 28% for C3 sand.</w:t>
      </w:r>
    </w:p>
    <w:p w:rsidR="00EE4ED6" w:rsidRDefault="00EE4ED6" w:rsidP="006C02CB"/>
    <w:p w:rsidR="006C02CB" w:rsidRPr="00EE4ED6" w:rsidRDefault="006C02CB" w:rsidP="006C02CB">
      <w:r w:rsidRPr="00EE4ED6">
        <w:t xml:space="preserve">Similar to the approach used for primary recovery factor, </w:t>
      </w:r>
      <w:r w:rsidR="000326A0" w:rsidRPr="00EE4ED6">
        <w:t>we have</w:t>
      </w:r>
      <w:r w:rsidRPr="00EE4ED6">
        <w:t xml:space="preserve"> taken the conservative route by following the ERCB accepted recovery factors of 25% for CSS operations throughout the Cold Lake Area.</w:t>
      </w:r>
    </w:p>
    <w:p w:rsidR="006C02CB" w:rsidRPr="00EE4ED6" w:rsidRDefault="006C02CB" w:rsidP="006C02CB"/>
    <w:p w:rsidR="006C02CB" w:rsidRPr="00EE4ED6" w:rsidRDefault="006C02CB" w:rsidP="006C02CB">
      <w:pPr>
        <w:rPr>
          <w:b/>
        </w:rPr>
      </w:pPr>
      <w:r w:rsidRPr="00EE4ED6">
        <w:rPr>
          <w:b/>
        </w:rPr>
        <w:t>In-situ thermal recovery – Steam Assisted Gravity Drainage</w:t>
      </w:r>
    </w:p>
    <w:p w:rsidR="006C02CB" w:rsidRPr="00EE4ED6" w:rsidRDefault="006C02CB" w:rsidP="006C02CB">
      <w:r w:rsidRPr="00EE4ED6">
        <w:t>The cumulative recovery to date from SAGD operations in the Cold Lake Area has been relatively minor compared to CSS. Various operators including Shell at Orion</w:t>
      </w:r>
      <w:r w:rsidRPr="00EE4ED6">
        <w:rPr>
          <w:vertAlign w:val="superscript"/>
        </w:rPr>
        <w:t>4</w:t>
      </w:r>
      <w:r w:rsidRPr="00EE4ED6">
        <w:t>, Husky at Tucker Lake</w:t>
      </w:r>
      <w:r w:rsidRPr="00EE4ED6">
        <w:rPr>
          <w:vertAlign w:val="superscript"/>
        </w:rPr>
        <w:t>5</w:t>
      </w:r>
      <w:r w:rsidRPr="00EE4ED6">
        <w:t>, and CNRL at Wolf Lake and Burnt Lake</w:t>
      </w:r>
      <w:r w:rsidRPr="00EE4ED6">
        <w:rPr>
          <w:vertAlign w:val="superscript"/>
        </w:rPr>
        <w:t>3</w:t>
      </w:r>
      <w:r w:rsidRPr="00EE4ED6">
        <w:t xml:space="preserve">, have estimated targeted ultimate recovery from SAGD </w:t>
      </w:r>
      <w:r w:rsidR="00D756AF" w:rsidRPr="00EE4ED6">
        <w:t>operations in the range of 45–</w:t>
      </w:r>
      <w:r w:rsidRPr="00EE4ED6">
        <w:t>55%.</w:t>
      </w:r>
    </w:p>
    <w:p w:rsidR="000326A0" w:rsidRPr="00EE4ED6" w:rsidRDefault="000326A0" w:rsidP="006C02CB"/>
    <w:p w:rsidR="006C02CB" w:rsidRPr="00EE4ED6" w:rsidRDefault="006C02CB" w:rsidP="006C02CB">
      <w:r w:rsidRPr="00EE4ED6">
        <w:t>A couple of wells in Shell’s Hilda Lake Pilot</w:t>
      </w:r>
      <w:r w:rsidRPr="00EE4ED6">
        <w:rPr>
          <w:vertAlign w:val="superscript"/>
        </w:rPr>
        <w:t>4</w:t>
      </w:r>
      <w:r w:rsidRPr="00EE4ED6">
        <w:t>, and CNRL’s Wolf Lake Pad SD9</w:t>
      </w:r>
      <w:r w:rsidRPr="00EE4ED6">
        <w:rPr>
          <w:vertAlign w:val="superscript"/>
        </w:rPr>
        <w:t>3</w:t>
      </w:r>
      <w:r w:rsidRPr="00EE4ED6">
        <w:t xml:space="preserve"> are exhibiting Recovery factors to date in excess of 40% which supports the estimated ultimate recovery of 50% from SAGD operations.</w:t>
      </w:r>
    </w:p>
    <w:p w:rsidR="000326A0" w:rsidRPr="00EE4ED6" w:rsidRDefault="000326A0" w:rsidP="006C02CB"/>
    <w:p w:rsidR="006C02CB" w:rsidRPr="00EE4ED6" w:rsidRDefault="006C02CB" w:rsidP="006C02CB">
      <w:r w:rsidRPr="00EE4ED6">
        <w:t xml:space="preserve">Though the realistic recovery factors can be expected to be &gt;50% on most SAGD projects, </w:t>
      </w:r>
      <w:r w:rsidR="000326A0" w:rsidRPr="00EE4ED6">
        <w:t>we have</w:t>
      </w:r>
      <w:r w:rsidRPr="00EE4ED6">
        <w:t xml:space="preserve"> consistently tried to err on the side of caution in this report so as not to overstate the volumes of recoverable bitumen</w:t>
      </w:r>
      <w:r w:rsidR="00FA4BB2" w:rsidRPr="00EE4ED6">
        <w:t>, and have</w:t>
      </w:r>
      <w:r w:rsidRPr="00EE4ED6">
        <w:t xml:space="preserve"> accepted ERCB’s estimate of recovery factor of 50% for SAGD as being reasonable.</w:t>
      </w:r>
    </w:p>
    <w:p w:rsidR="006C02CB" w:rsidRPr="00D373C8" w:rsidRDefault="006C02CB" w:rsidP="006C02CB"/>
    <w:p w:rsidR="006C02CB" w:rsidRPr="00D373C8" w:rsidRDefault="006C02CB" w:rsidP="006C02CB">
      <w:pPr>
        <w:rPr>
          <w:sz w:val="28"/>
          <w:u w:val="single"/>
        </w:rPr>
      </w:pPr>
      <w:r w:rsidRPr="00D373C8">
        <w:rPr>
          <w:sz w:val="28"/>
          <w:u w:val="single"/>
        </w:rPr>
        <w:br w:type="page"/>
      </w:r>
    </w:p>
    <w:p w:rsidR="006C02CB" w:rsidRPr="008B7B59" w:rsidRDefault="006C02CB" w:rsidP="006C02CB">
      <w:pPr>
        <w:rPr>
          <w:u w:val="single"/>
        </w:rPr>
      </w:pPr>
      <w:r w:rsidRPr="008B7B59">
        <w:rPr>
          <w:u w:val="single"/>
        </w:rPr>
        <w:lastRenderedPageBreak/>
        <w:t>Gas Oil Ratio – GOR</w:t>
      </w:r>
    </w:p>
    <w:p w:rsidR="006C02CB" w:rsidRDefault="006C02CB" w:rsidP="006C02CB">
      <w:pPr>
        <w:rPr>
          <w:sz w:val="22"/>
        </w:rPr>
      </w:pPr>
      <w:r w:rsidRPr="00D756AF">
        <w:rPr>
          <w:sz w:val="22"/>
        </w:rPr>
        <w:t>The gases produced with bitumen in In-situ thermal operations are for the most part a mixture of methane, CO</w:t>
      </w:r>
      <w:r w:rsidRPr="00EE4ED6">
        <w:rPr>
          <w:sz w:val="22"/>
          <w:vertAlign w:val="subscript"/>
        </w:rPr>
        <w:t>2</w:t>
      </w:r>
      <w:r w:rsidRPr="00D756AF">
        <w:rPr>
          <w:sz w:val="22"/>
        </w:rPr>
        <w:t>, and H</w:t>
      </w:r>
      <w:r w:rsidRPr="00EE4ED6">
        <w:rPr>
          <w:sz w:val="22"/>
          <w:vertAlign w:val="subscript"/>
        </w:rPr>
        <w:t>2</w:t>
      </w:r>
      <w:r w:rsidRPr="00D756AF">
        <w:rPr>
          <w:sz w:val="22"/>
        </w:rPr>
        <w:t xml:space="preserve">S. For the purpose of this report the GOR discussions are confined to the ratio of methane to bitumen volumetrically on </w:t>
      </w:r>
      <w:proofErr w:type="gramStart"/>
      <w:r w:rsidRPr="00D756AF">
        <w:rPr>
          <w:sz w:val="22"/>
        </w:rPr>
        <w:t>a</w:t>
      </w:r>
      <w:proofErr w:type="gramEnd"/>
      <w:r w:rsidRPr="00D756AF">
        <w:rPr>
          <w:sz w:val="22"/>
        </w:rPr>
        <w:t xml:space="preserve"> m</w:t>
      </w:r>
      <w:r w:rsidRPr="00D756AF">
        <w:rPr>
          <w:sz w:val="22"/>
          <w:vertAlign w:val="superscript"/>
        </w:rPr>
        <w:t>3</w:t>
      </w:r>
      <w:r w:rsidRPr="00D756AF">
        <w:rPr>
          <w:sz w:val="22"/>
        </w:rPr>
        <w:t>/m</w:t>
      </w:r>
      <w:r w:rsidRPr="00D756AF">
        <w:rPr>
          <w:sz w:val="22"/>
          <w:vertAlign w:val="superscript"/>
        </w:rPr>
        <w:t>3</w:t>
      </w:r>
      <w:r w:rsidRPr="00D756AF">
        <w:rPr>
          <w:sz w:val="22"/>
        </w:rPr>
        <w:t xml:space="preserve"> basis.</w:t>
      </w:r>
    </w:p>
    <w:p w:rsidR="00D756AF" w:rsidRPr="00D756AF" w:rsidRDefault="00D756AF" w:rsidP="006C02CB">
      <w:pPr>
        <w:rPr>
          <w:sz w:val="22"/>
        </w:rPr>
      </w:pPr>
    </w:p>
    <w:p w:rsidR="006C02CB" w:rsidRPr="00D756AF" w:rsidRDefault="006C02CB" w:rsidP="006C02CB">
      <w:pPr>
        <w:rPr>
          <w:sz w:val="22"/>
        </w:rPr>
      </w:pPr>
      <w:r w:rsidRPr="00D756AF">
        <w:rPr>
          <w:sz w:val="22"/>
        </w:rPr>
        <w:t>The solubility of Methane has been discussed in the technical literature in reasonable detail. Svrcek and Mehrotra</w:t>
      </w:r>
      <w:r w:rsidRPr="00D756AF">
        <w:rPr>
          <w:sz w:val="22"/>
          <w:vertAlign w:val="superscript"/>
        </w:rPr>
        <w:t>6</w:t>
      </w:r>
      <w:r w:rsidRPr="00D756AF">
        <w:rPr>
          <w:sz w:val="22"/>
        </w:rPr>
        <w:t xml:space="preserve"> have discussed binary gas mixtures of CO</w:t>
      </w:r>
      <w:r w:rsidRPr="00D756AF">
        <w:rPr>
          <w:sz w:val="22"/>
          <w:vertAlign w:val="subscript"/>
        </w:rPr>
        <w:t>2</w:t>
      </w:r>
      <w:r w:rsidRPr="00D756AF">
        <w:rPr>
          <w:sz w:val="22"/>
        </w:rPr>
        <w:t xml:space="preserve"> and CH</w:t>
      </w:r>
      <w:r w:rsidRPr="00D756AF">
        <w:rPr>
          <w:sz w:val="22"/>
          <w:vertAlign w:val="subscript"/>
        </w:rPr>
        <w:t>4</w:t>
      </w:r>
      <w:r w:rsidRPr="00D756AF">
        <w:rPr>
          <w:sz w:val="22"/>
        </w:rPr>
        <w:t>. Dr. Harald Thimm</w:t>
      </w:r>
      <w:r w:rsidR="003569CD">
        <w:rPr>
          <w:sz w:val="22"/>
        </w:rPr>
        <w:t xml:space="preserve"> has created a body of work on g</w:t>
      </w:r>
      <w:r w:rsidRPr="00D756AF">
        <w:rPr>
          <w:sz w:val="22"/>
        </w:rPr>
        <w:t>as solubility and production in SAGD operations</w:t>
      </w:r>
      <w:r w:rsidRPr="00D756AF">
        <w:rPr>
          <w:sz w:val="22"/>
          <w:vertAlign w:val="superscript"/>
        </w:rPr>
        <w:t>7</w:t>
      </w:r>
      <w:r w:rsidRPr="00D756AF">
        <w:rPr>
          <w:sz w:val="22"/>
        </w:rPr>
        <w:t xml:space="preserve"> and has predicted the range of GOR to be between 1 and 16. There has been some empirical evidence from operating projects in the Cold Lake area that the natural gas (methane) production ratio to bitumen is ~10:1.</w:t>
      </w:r>
    </w:p>
    <w:p w:rsidR="000326A0" w:rsidRPr="00D756AF" w:rsidRDefault="000326A0" w:rsidP="006C02CB">
      <w:pPr>
        <w:rPr>
          <w:sz w:val="22"/>
        </w:rPr>
      </w:pPr>
    </w:p>
    <w:p w:rsidR="006C02CB" w:rsidRPr="00D756AF" w:rsidRDefault="00064876" w:rsidP="006C02CB">
      <w:pPr>
        <w:rPr>
          <w:sz w:val="22"/>
        </w:rPr>
      </w:pPr>
      <w:r w:rsidRPr="00D756AF">
        <w:rPr>
          <w:sz w:val="22"/>
        </w:rPr>
        <w:t>The author has crosschecked solubility of Methane in Bitumen against the equation provided in Roger Butler</w:t>
      </w:r>
      <w:r w:rsidR="003569CD">
        <w:rPr>
          <w:sz w:val="22"/>
        </w:rPr>
        <w:t>’s text on thermal recovery of bitumen and heavy o</w:t>
      </w:r>
      <w:r w:rsidRPr="00D756AF">
        <w:rPr>
          <w:sz w:val="22"/>
        </w:rPr>
        <w:t>il</w:t>
      </w:r>
      <w:r w:rsidRPr="00D756AF">
        <w:rPr>
          <w:sz w:val="22"/>
          <w:vertAlign w:val="superscript"/>
        </w:rPr>
        <w:t>8</w:t>
      </w:r>
      <w:r w:rsidR="003569CD">
        <w:rPr>
          <w:sz w:val="22"/>
        </w:rPr>
        <w:t xml:space="preserve"> by assuming r</w:t>
      </w:r>
      <w:r w:rsidRPr="00D756AF">
        <w:rPr>
          <w:sz w:val="22"/>
        </w:rPr>
        <w:t>eser</w:t>
      </w:r>
      <w:r w:rsidR="003569CD">
        <w:rPr>
          <w:sz w:val="22"/>
        </w:rPr>
        <w:t>voir pressure of 3,500 kPa and r</w:t>
      </w:r>
      <w:r w:rsidRPr="00D756AF">
        <w:rPr>
          <w:sz w:val="22"/>
        </w:rPr>
        <w:t>eservoir temperature of 15 deg C and has come up with a number of 9.55 m</w:t>
      </w:r>
      <w:r w:rsidRPr="00D756AF">
        <w:rPr>
          <w:sz w:val="22"/>
          <w:vertAlign w:val="superscript"/>
        </w:rPr>
        <w:t>3</w:t>
      </w:r>
      <w:r w:rsidRPr="00D756AF">
        <w:rPr>
          <w:sz w:val="22"/>
        </w:rPr>
        <w:t>/m</w:t>
      </w:r>
      <w:r w:rsidRPr="00D756AF">
        <w:rPr>
          <w:sz w:val="22"/>
          <w:vertAlign w:val="superscript"/>
        </w:rPr>
        <w:t>3</w:t>
      </w:r>
      <w:r w:rsidR="003569CD">
        <w:rPr>
          <w:sz w:val="22"/>
        </w:rPr>
        <w:t xml:space="preserve"> for the m</w:t>
      </w:r>
      <w:r w:rsidRPr="00D756AF">
        <w:rPr>
          <w:sz w:val="22"/>
        </w:rPr>
        <w:t>et</w:t>
      </w:r>
      <w:r w:rsidR="003569CD">
        <w:rPr>
          <w:sz w:val="22"/>
        </w:rPr>
        <w:t>hane to b</w:t>
      </w:r>
      <w:r w:rsidRPr="00D756AF">
        <w:rPr>
          <w:sz w:val="22"/>
        </w:rPr>
        <w:t>itumen ratio which is very close to the assumed ratio of 10.</w:t>
      </w:r>
    </w:p>
    <w:p w:rsidR="006C02CB" w:rsidRPr="00D373C8" w:rsidRDefault="006C02CB" w:rsidP="006C02CB"/>
    <w:p w:rsidR="006C02CB" w:rsidRPr="008B7B59" w:rsidRDefault="006C02CB" w:rsidP="006C02CB">
      <w:pPr>
        <w:rPr>
          <w:u w:val="single"/>
        </w:rPr>
      </w:pPr>
      <w:r w:rsidRPr="008B7B59">
        <w:rPr>
          <w:u w:val="single"/>
        </w:rPr>
        <w:t>SO</w:t>
      </w:r>
      <w:r w:rsidRPr="008B7B59">
        <w:rPr>
          <w:u w:val="single"/>
          <w:vertAlign w:val="subscript"/>
        </w:rPr>
        <w:t>2</w:t>
      </w:r>
      <w:r w:rsidRPr="008B7B59">
        <w:rPr>
          <w:u w:val="single"/>
        </w:rPr>
        <w:t xml:space="preserve"> emissions</w:t>
      </w:r>
    </w:p>
    <w:p w:rsidR="006C02CB" w:rsidRDefault="006C02CB" w:rsidP="006C02CB">
      <w:r w:rsidRPr="00D373C8">
        <w:t>Dr. Harald Thimm’s work</w:t>
      </w:r>
      <w:r w:rsidRPr="00D373C8">
        <w:rPr>
          <w:vertAlign w:val="superscript"/>
        </w:rPr>
        <w:t>7</w:t>
      </w:r>
      <w:r w:rsidRPr="00D373C8">
        <w:t xml:space="preserve"> on prediction of GOR and H</w:t>
      </w:r>
      <w:r w:rsidRPr="00D756AF">
        <w:rPr>
          <w:vertAlign w:val="subscript"/>
        </w:rPr>
        <w:t>2</w:t>
      </w:r>
      <w:r w:rsidRPr="00D373C8">
        <w:t>S concentrations gives a range of H2S from 1,000 to 30,000 ppm. As H</w:t>
      </w:r>
      <w:r w:rsidRPr="00D756AF">
        <w:rPr>
          <w:vertAlign w:val="subscript"/>
        </w:rPr>
        <w:t>2</w:t>
      </w:r>
      <w:r w:rsidRPr="00D373C8">
        <w:t>S is a product of aquathermolysis in thermal In-situ operations, it is predicted that as temperature goes higher and higher more H</w:t>
      </w:r>
      <w:r w:rsidRPr="00D756AF">
        <w:rPr>
          <w:vertAlign w:val="subscript"/>
        </w:rPr>
        <w:t>2</w:t>
      </w:r>
      <w:bookmarkStart w:id="550" w:name="_GoBack"/>
      <w:bookmarkEnd w:id="550"/>
      <w:r w:rsidRPr="00D373C8">
        <w:t xml:space="preserve">S will </w:t>
      </w:r>
      <w:r w:rsidR="00B002B4">
        <w:t xml:space="preserve">     </w:t>
      </w:r>
      <w:r w:rsidRPr="00D373C8">
        <w:t>be produced hence the large range of H</w:t>
      </w:r>
      <w:r w:rsidRPr="00D756AF">
        <w:rPr>
          <w:vertAlign w:val="subscript"/>
        </w:rPr>
        <w:t>2</w:t>
      </w:r>
      <w:r w:rsidRPr="00D373C8">
        <w:t>S prediction covers low pressure operations as well as high pressure due to the fact that in thermal operations utilizing steam the saturation temperature is a direct function of pressure.</w:t>
      </w:r>
    </w:p>
    <w:p w:rsidR="000326A0" w:rsidRPr="00D373C8" w:rsidRDefault="000326A0" w:rsidP="006C02CB"/>
    <w:p w:rsidR="006C02CB" w:rsidRPr="00D373C8" w:rsidRDefault="006C02CB" w:rsidP="006C02CB">
      <w:r w:rsidRPr="00D373C8">
        <w:t>In exami</w:t>
      </w:r>
      <w:r w:rsidR="00D756AF">
        <w:t>ning the contents from Husky’s i</w:t>
      </w:r>
      <w:r w:rsidRPr="00D373C8">
        <w:t>n-situ performance presentation to the ERCB, Shell’s report and Imperial’s report on Cold Lake operations, the following observations and calculations were made:</w:t>
      </w:r>
    </w:p>
    <w:p w:rsidR="006C02CB" w:rsidRPr="00D373C8" w:rsidRDefault="006C02CB" w:rsidP="006C02CB"/>
    <w:p w:rsidR="006C02CB" w:rsidRPr="00D373C8" w:rsidRDefault="006C02CB" w:rsidP="006C02CB">
      <w:pPr>
        <w:rPr>
          <w:u w:val="single"/>
        </w:rPr>
      </w:pPr>
      <w:r w:rsidRPr="00D373C8">
        <w:rPr>
          <w:u w:val="single"/>
        </w:rPr>
        <w:t>Husky’s Tucker Lake operations - SAGD</w:t>
      </w:r>
    </w:p>
    <w:p w:rsidR="006C02CB" w:rsidRPr="00EE4ED6" w:rsidRDefault="006C02CB" w:rsidP="006C02CB">
      <w:pPr>
        <w:rPr>
          <w:sz w:val="22"/>
        </w:rPr>
      </w:pPr>
      <w:r w:rsidRPr="00EE4ED6">
        <w:rPr>
          <w:sz w:val="22"/>
        </w:rPr>
        <w:t>At Husky Tucker Lake the produced SO2 has been reported in the range of 0.4 T/d through Feb</w:t>
      </w:r>
      <w:r w:rsidR="00EE4ED6" w:rsidRPr="00EE4ED6">
        <w:rPr>
          <w:sz w:val="22"/>
        </w:rPr>
        <w:t>ruary</w:t>
      </w:r>
      <w:r w:rsidRPr="00EE4ED6">
        <w:rPr>
          <w:sz w:val="22"/>
        </w:rPr>
        <w:t xml:space="preserve"> to May 2011 for a corresponding Bitumen production rate </w:t>
      </w:r>
      <w:proofErr w:type="gramStart"/>
      <w:r w:rsidRPr="00EE4ED6">
        <w:rPr>
          <w:sz w:val="22"/>
        </w:rPr>
        <w:t xml:space="preserve">of ~1,000 </w:t>
      </w:r>
      <w:r w:rsidR="003569CD" w:rsidRPr="00D756AF">
        <w:rPr>
          <w:sz w:val="22"/>
        </w:rPr>
        <w:t>m</w:t>
      </w:r>
      <w:r w:rsidR="003569CD" w:rsidRPr="00D756AF">
        <w:rPr>
          <w:sz w:val="22"/>
          <w:vertAlign w:val="superscript"/>
        </w:rPr>
        <w:t>3</w:t>
      </w:r>
      <w:r w:rsidRPr="00EE4ED6">
        <w:rPr>
          <w:sz w:val="22"/>
        </w:rPr>
        <w:t>/d</w:t>
      </w:r>
      <w:r w:rsidRPr="00EE4ED6">
        <w:rPr>
          <w:sz w:val="22"/>
          <w:vertAlign w:val="superscript"/>
        </w:rPr>
        <w:t>5</w:t>
      </w:r>
      <w:r w:rsidRPr="00EE4ED6">
        <w:rPr>
          <w:sz w:val="22"/>
        </w:rPr>
        <w:t xml:space="preserve"> which comes out to a ratio of 0.0004 T/</w:t>
      </w:r>
      <w:r w:rsidR="003569CD" w:rsidRPr="003569CD">
        <w:rPr>
          <w:sz w:val="22"/>
        </w:rPr>
        <w:t xml:space="preserve"> </w:t>
      </w:r>
      <w:r w:rsidR="003569CD" w:rsidRPr="00D756AF">
        <w:rPr>
          <w:sz w:val="22"/>
        </w:rPr>
        <w:t>m</w:t>
      </w:r>
      <w:r w:rsidR="003569CD" w:rsidRPr="00D756AF">
        <w:rPr>
          <w:sz w:val="22"/>
          <w:vertAlign w:val="superscript"/>
        </w:rPr>
        <w:t>3</w:t>
      </w:r>
      <w:r w:rsidR="003569CD">
        <w:rPr>
          <w:sz w:val="22"/>
        </w:rPr>
        <w:t xml:space="preserve"> of b</w:t>
      </w:r>
      <w:r w:rsidRPr="00EE4ED6">
        <w:rPr>
          <w:sz w:val="22"/>
        </w:rPr>
        <w:t>itumen</w:t>
      </w:r>
      <w:proofErr w:type="gramEnd"/>
      <w:r w:rsidRPr="00EE4ED6">
        <w:rPr>
          <w:sz w:val="22"/>
        </w:rPr>
        <w:t>. More recently the SO</w:t>
      </w:r>
      <w:r w:rsidRPr="002024BA">
        <w:rPr>
          <w:sz w:val="22"/>
          <w:vertAlign w:val="subscript"/>
        </w:rPr>
        <w:t>2</w:t>
      </w:r>
      <w:r w:rsidRPr="00EE4ED6">
        <w:rPr>
          <w:sz w:val="22"/>
        </w:rPr>
        <w:t xml:space="preserve"> rate has been anecdotally quoted in excess of 1.0 T/d for a corresponding Bitumen production rate </w:t>
      </w:r>
      <w:proofErr w:type="gramStart"/>
      <w:r w:rsidRPr="00EE4ED6">
        <w:rPr>
          <w:sz w:val="22"/>
        </w:rPr>
        <w:t xml:space="preserve">of ~1,600 </w:t>
      </w:r>
      <w:r w:rsidR="003569CD" w:rsidRPr="00D756AF">
        <w:rPr>
          <w:sz w:val="22"/>
        </w:rPr>
        <w:t>m</w:t>
      </w:r>
      <w:r w:rsidR="003569CD" w:rsidRPr="00D756AF">
        <w:rPr>
          <w:sz w:val="22"/>
          <w:vertAlign w:val="superscript"/>
        </w:rPr>
        <w:t>3</w:t>
      </w:r>
      <w:r w:rsidRPr="00EE4ED6">
        <w:rPr>
          <w:sz w:val="22"/>
        </w:rPr>
        <w:t>/d which comes out to be 0.000625 T/m3</w:t>
      </w:r>
      <w:proofErr w:type="gramEnd"/>
      <w:r w:rsidRPr="00EE4ED6">
        <w:rPr>
          <w:sz w:val="22"/>
        </w:rPr>
        <w:t>.</w:t>
      </w:r>
    </w:p>
    <w:p w:rsidR="006C02CB" w:rsidRPr="00D373C8" w:rsidRDefault="006C02CB" w:rsidP="006C02CB"/>
    <w:p w:rsidR="006C02CB" w:rsidRPr="00D373C8" w:rsidRDefault="006C02CB" w:rsidP="006C02CB">
      <w:pPr>
        <w:rPr>
          <w:u w:val="single"/>
        </w:rPr>
      </w:pPr>
      <w:r w:rsidRPr="00D373C8">
        <w:rPr>
          <w:u w:val="single"/>
        </w:rPr>
        <w:t>Shell’s Orion operations - SAGD</w:t>
      </w:r>
    </w:p>
    <w:p w:rsidR="006C02CB" w:rsidRPr="00EE4ED6" w:rsidRDefault="006C02CB" w:rsidP="006C02CB">
      <w:pPr>
        <w:rPr>
          <w:sz w:val="22"/>
        </w:rPr>
      </w:pPr>
      <w:r w:rsidRPr="00EE4ED6">
        <w:rPr>
          <w:sz w:val="22"/>
        </w:rPr>
        <w:t xml:space="preserve">At Shell’s Orion project the SO2 numbers reported for the period Oct – Dec 2010 are 0.4 T/d for a corresponding Bitumen production rate </w:t>
      </w:r>
      <w:proofErr w:type="gramStart"/>
      <w:r w:rsidRPr="00EE4ED6">
        <w:rPr>
          <w:sz w:val="22"/>
        </w:rPr>
        <w:t xml:space="preserve">of ~650 </w:t>
      </w:r>
      <w:r w:rsidR="003569CD" w:rsidRPr="00D756AF">
        <w:rPr>
          <w:sz w:val="22"/>
        </w:rPr>
        <w:t>m</w:t>
      </w:r>
      <w:r w:rsidR="003569CD" w:rsidRPr="00D756AF">
        <w:rPr>
          <w:sz w:val="22"/>
          <w:vertAlign w:val="superscript"/>
        </w:rPr>
        <w:t>3</w:t>
      </w:r>
      <w:r w:rsidRPr="00EE4ED6">
        <w:rPr>
          <w:sz w:val="22"/>
        </w:rPr>
        <w:t>/d</w:t>
      </w:r>
      <w:r w:rsidRPr="00EE4ED6">
        <w:rPr>
          <w:sz w:val="22"/>
          <w:vertAlign w:val="superscript"/>
        </w:rPr>
        <w:t>4</w:t>
      </w:r>
      <w:r w:rsidRPr="00EE4ED6">
        <w:rPr>
          <w:sz w:val="22"/>
        </w:rPr>
        <w:t xml:space="preserve"> which corresponds to a ratio of 0.000615 T/</w:t>
      </w:r>
      <w:r w:rsidR="003569CD" w:rsidRPr="003569CD">
        <w:rPr>
          <w:sz w:val="22"/>
        </w:rPr>
        <w:t xml:space="preserve"> </w:t>
      </w:r>
      <w:r w:rsidR="003569CD" w:rsidRPr="00D756AF">
        <w:rPr>
          <w:sz w:val="22"/>
        </w:rPr>
        <w:t>m</w:t>
      </w:r>
      <w:r w:rsidR="003569CD" w:rsidRPr="00D756AF">
        <w:rPr>
          <w:sz w:val="22"/>
          <w:vertAlign w:val="superscript"/>
        </w:rPr>
        <w:t>3</w:t>
      </w:r>
      <w:proofErr w:type="gramEnd"/>
      <w:r w:rsidRPr="00EE4ED6">
        <w:rPr>
          <w:sz w:val="22"/>
        </w:rPr>
        <w:t>. This ratio is very close to the recent estimates at Husky’s SAGD operations in the same Clearwater formation.</w:t>
      </w:r>
    </w:p>
    <w:p w:rsidR="006C02CB" w:rsidRPr="00D373C8" w:rsidRDefault="006C02CB" w:rsidP="006C02CB"/>
    <w:p w:rsidR="006C02CB" w:rsidRPr="00D373C8" w:rsidRDefault="006C02CB" w:rsidP="006C02CB">
      <w:pPr>
        <w:rPr>
          <w:u w:val="single"/>
        </w:rPr>
      </w:pPr>
      <w:r w:rsidRPr="00D373C8">
        <w:rPr>
          <w:u w:val="single"/>
        </w:rPr>
        <w:t>Imperial’s Cold Lake - CSS</w:t>
      </w:r>
    </w:p>
    <w:p w:rsidR="006C02CB" w:rsidRPr="00EE4ED6" w:rsidRDefault="006C02CB" w:rsidP="006C02CB">
      <w:pPr>
        <w:rPr>
          <w:sz w:val="22"/>
        </w:rPr>
      </w:pPr>
      <w:r w:rsidRPr="00EE4ED6">
        <w:rPr>
          <w:sz w:val="22"/>
        </w:rPr>
        <w:t>At Imperial’s Cold Lake operations the SO</w:t>
      </w:r>
      <w:r w:rsidRPr="003569CD">
        <w:rPr>
          <w:sz w:val="22"/>
          <w:vertAlign w:val="subscript"/>
        </w:rPr>
        <w:t>2</w:t>
      </w:r>
      <w:r w:rsidRPr="00EE4ED6">
        <w:rPr>
          <w:sz w:val="22"/>
        </w:rPr>
        <w:t xml:space="preserve"> numbers reported are an average 694 Tons per month for the period Oct to Dec 2010</w:t>
      </w:r>
      <w:r w:rsidRPr="00EE4ED6">
        <w:rPr>
          <w:sz w:val="22"/>
          <w:vertAlign w:val="superscript"/>
        </w:rPr>
        <w:t xml:space="preserve">2 </w:t>
      </w:r>
      <w:r w:rsidRPr="00EE4ED6">
        <w:rPr>
          <w:sz w:val="22"/>
        </w:rPr>
        <w:t xml:space="preserve">and the corresponding average monthly bitumen production is reported as 723,066 </w:t>
      </w:r>
      <w:r w:rsidR="003569CD" w:rsidRPr="00D756AF">
        <w:rPr>
          <w:sz w:val="22"/>
        </w:rPr>
        <w:t>m</w:t>
      </w:r>
      <w:r w:rsidR="003569CD" w:rsidRPr="00D756AF">
        <w:rPr>
          <w:sz w:val="22"/>
          <w:vertAlign w:val="superscript"/>
        </w:rPr>
        <w:t>3</w:t>
      </w:r>
      <w:r w:rsidRPr="00EE4ED6">
        <w:rPr>
          <w:sz w:val="22"/>
        </w:rPr>
        <w:t>, therefore the ratio of SO</w:t>
      </w:r>
      <w:r w:rsidRPr="003569CD">
        <w:rPr>
          <w:sz w:val="22"/>
          <w:vertAlign w:val="subscript"/>
        </w:rPr>
        <w:t>2</w:t>
      </w:r>
      <w:r w:rsidRPr="00EE4ED6">
        <w:rPr>
          <w:sz w:val="22"/>
        </w:rPr>
        <w:t xml:space="preserve"> to bitumen is 0.00095 T/m3. This higher ratio for Imperial’s CSS operations is explained by the higher pressure and correspondingly higher saturation temperature at which CSS is operated compared to SAGD.</w:t>
      </w:r>
    </w:p>
    <w:p w:rsidR="006C02CB" w:rsidRPr="00D373C8" w:rsidRDefault="006C02CB" w:rsidP="006C02CB"/>
    <w:p w:rsidR="006C02CB" w:rsidRPr="00D373C8" w:rsidRDefault="006C02CB" w:rsidP="006C02CB">
      <w:pPr>
        <w:rPr>
          <w:u w:val="single"/>
        </w:rPr>
      </w:pPr>
      <w:r w:rsidRPr="00D373C8">
        <w:rPr>
          <w:u w:val="single"/>
        </w:rPr>
        <w:t>Primary Recovery</w:t>
      </w:r>
    </w:p>
    <w:p w:rsidR="006C02CB" w:rsidRPr="00EE4ED6" w:rsidRDefault="006C02CB" w:rsidP="006C02CB">
      <w:pPr>
        <w:rPr>
          <w:sz w:val="22"/>
        </w:rPr>
      </w:pPr>
      <w:r w:rsidRPr="00EE4ED6">
        <w:rPr>
          <w:sz w:val="22"/>
        </w:rPr>
        <w:lastRenderedPageBreak/>
        <w:t>There is very little evidence of any H2S production in cold Heavy Oil production operations in the Cold Lake Area therefore for Primary production this ratio can be assumed to be zero.</w:t>
      </w:r>
    </w:p>
    <w:p w:rsidR="006C02CB" w:rsidRPr="00EE4ED6" w:rsidRDefault="006C02CB" w:rsidP="006C02CB">
      <w:pPr>
        <w:rPr>
          <w:sz w:val="22"/>
        </w:rPr>
      </w:pPr>
      <w:r w:rsidRPr="00EE4ED6">
        <w:rPr>
          <w:sz w:val="22"/>
        </w:rPr>
        <w:t>In summary for the purpose of providing input to ALCES, the SO</w:t>
      </w:r>
      <w:r w:rsidRPr="003569CD">
        <w:rPr>
          <w:sz w:val="22"/>
          <w:vertAlign w:val="subscript"/>
        </w:rPr>
        <w:t>2</w:t>
      </w:r>
      <w:r w:rsidRPr="00EE4ED6">
        <w:rPr>
          <w:sz w:val="22"/>
        </w:rPr>
        <w:t xml:space="preserve"> to Bitumen ratio has been estimated to be 0.000625 T/m3 for SAGD operations, 0.0009 T/</w:t>
      </w:r>
      <w:r w:rsidR="003569CD" w:rsidRPr="003569CD">
        <w:rPr>
          <w:sz w:val="22"/>
        </w:rPr>
        <w:t xml:space="preserve"> </w:t>
      </w:r>
      <w:r w:rsidR="003569CD" w:rsidRPr="00D756AF">
        <w:rPr>
          <w:sz w:val="22"/>
        </w:rPr>
        <w:t>m</w:t>
      </w:r>
      <w:r w:rsidR="003569CD" w:rsidRPr="00D756AF">
        <w:rPr>
          <w:sz w:val="22"/>
          <w:vertAlign w:val="superscript"/>
        </w:rPr>
        <w:t>3</w:t>
      </w:r>
      <w:r w:rsidRPr="00EE4ED6">
        <w:rPr>
          <w:sz w:val="22"/>
        </w:rPr>
        <w:t xml:space="preserve"> for CSS, and zero for Primary recovery.</w:t>
      </w:r>
    </w:p>
    <w:p w:rsidR="006C02CB" w:rsidRPr="00D373C8" w:rsidRDefault="006C02CB" w:rsidP="006C02CB"/>
    <w:p w:rsidR="006C02CB" w:rsidRPr="008B7B59" w:rsidRDefault="006C02CB" w:rsidP="006C02CB">
      <w:pPr>
        <w:rPr>
          <w:u w:val="single"/>
        </w:rPr>
      </w:pPr>
      <w:r w:rsidRPr="008B7B59">
        <w:rPr>
          <w:u w:val="single"/>
        </w:rPr>
        <w:t>List of References</w:t>
      </w:r>
    </w:p>
    <w:p w:rsidR="006C02CB" w:rsidRPr="00D373C8" w:rsidRDefault="006C02CB" w:rsidP="006C02CB">
      <w:pPr>
        <w:rPr>
          <w:u w:val="single"/>
        </w:rPr>
      </w:pPr>
    </w:p>
    <w:p w:rsidR="006C02CB" w:rsidRPr="00EE4ED6" w:rsidRDefault="006C02CB" w:rsidP="00060E16">
      <w:pPr>
        <w:pStyle w:val="ListParagraph"/>
        <w:numPr>
          <w:ilvl w:val="0"/>
          <w:numId w:val="36"/>
        </w:numPr>
        <w:spacing w:after="120"/>
        <w:ind w:left="567" w:hanging="425"/>
        <w:contextualSpacing w:val="0"/>
        <w:rPr>
          <w:rFonts w:ascii="Times New Roman" w:hAnsi="Times New Roman" w:cs="Times New Roman"/>
          <w:sz w:val="20"/>
        </w:rPr>
      </w:pPr>
      <w:r w:rsidRPr="00EE4ED6">
        <w:rPr>
          <w:rFonts w:ascii="Times New Roman" w:hAnsi="Times New Roman" w:cs="Times New Roman"/>
          <w:bCs/>
          <w:sz w:val="20"/>
        </w:rPr>
        <w:t>ENERGY RESOURCES CONSERVATION BOARD, ST98-2011: Alberta’s Energy Reserves 2010 and Supply/Demand Outlook 2011-2020, June 2011</w:t>
      </w:r>
      <w:r w:rsidR="00EE4ED6">
        <w:rPr>
          <w:rFonts w:ascii="Times New Roman" w:hAnsi="Times New Roman" w:cs="Times New Roman"/>
          <w:bCs/>
          <w:sz w:val="20"/>
        </w:rPr>
        <w:t>.</w:t>
      </w:r>
    </w:p>
    <w:p w:rsidR="006C02CB" w:rsidRPr="00EE4ED6" w:rsidRDefault="006C02CB" w:rsidP="00060E16">
      <w:pPr>
        <w:pStyle w:val="ListParagraph"/>
        <w:numPr>
          <w:ilvl w:val="0"/>
          <w:numId w:val="36"/>
        </w:numPr>
        <w:spacing w:after="120"/>
        <w:ind w:left="567" w:hanging="425"/>
        <w:contextualSpacing w:val="0"/>
        <w:rPr>
          <w:rFonts w:ascii="Times New Roman" w:hAnsi="Times New Roman" w:cs="Times New Roman"/>
          <w:sz w:val="20"/>
        </w:rPr>
      </w:pPr>
      <w:r w:rsidRPr="00EE4ED6">
        <w:rPr>
          <w:rFonts w:ascii="Times New Roman" w:hAnsi="Times New Roman" w:cs="Times New Roman"/>
          <w:sz w:val="20"/>
        </w:rPr>
        <w:t>ESSO Imperial Oil, Cold Lake Approvals 8558 and 4510 Annual Performance Review 2011</w:t>
      </w:r>
      <w:r w:rsidR="00EE4ED6">
        <w:rPr>
          <w:rFonts w:ascii="Times New Roman" w:hAnsi="Times New Roman" w:cs="Times New Roman"/>
          <w:sz w:val="20"/>
        </w:rPr>
        <w:t>.</w:t>
      </w:r>
    </w:p>
    <w:p w:rsidR="006C02CB" w:rsidRPr="00EE4ED6" w:rsidRDefault="006C02CB" w:rsidP="00060E16">
      <w:pPr>
        <w:pStyle w:val="ListParagraph"/>
        <w:numPr>
          <w:ilvl w:val="0"/>
          <w:numId w:val="36"/>
        </w:numPr>
        <w:spacing w:after="120"/>
        <w:ind w:left="567" w:hanging="425"/>
        <w:contextualSpacing w:val="0"/>
        <w:rPr>
          <w:rFonts w:ascii="Times New Roman" w:hAnsi="Times New Roman" w:cs="Times New Roman"/>
          <w:sz w:val="20"/>
        </w:rPr>
      </w:pPr>
      <w:r w:rsidRPr="00EE4ED6">
        <w:rPr>
          <w:rFonts w:ascii="Times New Roman" w:hAnsi="Times New Roman" w:cs="Times New Roman"/>
          <w:sz w:val="20"/>
        </w:rPr>
        <w:t>Canadian Natural Resources Ltd., 2011 Primrose, Wolf Lake, and Burnt Lake Annual Presentation to the ERCB, Subsurface Issues related to Resource Evaluation and Recovery, January 25, 2012</w:t>
      </w:r>
      <w:r w:rsidR="00EE4ED6">
        <w:rPr>
          <w:rFonts w:ascii="Times New Roman" w:hAnsi="Times New Roman" w:cs="Times New Roman"/>
          <w:sz w:val="20"/>
        </w:rPr>
        <w:t>.</w:t>
      </w:r>
    </w:p>
    <w:p w:rsidR="006C02CB" w:rsidRPr="00EE4ED6" w:rsidRDefault="006C02CB" w:rsidP="00060E16">
      <w:pPr>
        <w:pStyle w:val="ListParagraph"/>
        <w:numPr>
          <w:ilvl w:val="0"/>
          <w:numId w:val="36"/>
        </w:numPr>
        <w:spacing w:after="120"/>
        <w:ind w:left="567" w:hanging="425"/>
        <w:contextualSpacing w:val="0"/>
        <w:rPr>
          <w:rFonts w:ascii="Times New Roman" w:hAnsi="Times New Roman" w:cs="Times New Roman"/>
          <w:sz w:val="20"/>
        </w:rPr>
      </w:pPr>
      <w:r w:rsidRPr="00EE4ED6">
        <w:rPr>
          <w:rFonts w:ascii="Times New Roman" w:hAnsi="Times New Roman" w:cs="Times New Roman"/>
          <w:sz w:val="20"/>
        </w:rPr>
        <w:t>Shell Canada Ltd., In Situ Oil Sands Progress Presentation, Hilda Lake Pilot 8093 Orion 10103, April 21</w:t>
      </w:r>
      <w:r w:rsidRPr="00EE4ED6">
        <w:rPr>
          <w:rFonts w:ascii="Times New Roman" w:hAnsi="Times New Roman" w:cs="Times New Roman"/>
          <w:sz w:val="20"/>
          <w:vertAlign w:val="superscript"/>
        </w:rPr>
        <w:t>st</w:t>
      </w:r>
      <w:r w:rsidRPr="00EE4ED6">
        <w:rPr>
          <w:rFonts w:ascii="Times New Roman" w:hAnsi="Times New Roman" w:cs="Times New Roman"/>
          <w:sz w:val="20"/>
        </w:rPr>
        <w:t xml:space="preserve"> 2011</w:t>
      </w:r>
      <w:r w:rsidR="00EE4ED6">
        <w:rPr>
          <w:rFonts w:ascii="Times New Roman" w:hAnsi="Times New Roman" w:cs="Times New Roman"/>
          <w:sz w:val="20"/>
        </w:rPr>
        <w:t>.</w:t>
      </w:r>
    </w:p>
    <w:p w:rsidR="006C02CB" w:rsidRPr="00EE4ED6" w:rsidRDefault="006C02CB" w:rsidP="00060E16">
      <w:pPr>
        <w:pStyle w:val="ListParagraph"/>
        <w:numPr>
          <w:ilvl w:val="0"/>
          <w:numId w:val="36"/>
        </w:numPr>
        <w:spacing w:after="120"/>
        <w:ind w:left="567" w:hanging="425"/>
        <w:contextualSpacing w:val="0"/>
        <w:rPr>
          <w:rFonts w:ascii="Times New Roman" w:hAnsi="Times New Roman" w:cs="Times New Roman"/>
          <w:sz w:val="20"/>
        </w:rPr>
      </w:pPr>
      <w:r w:rsidRPr="00EE4ED6">
        <w:rPr>
          <w:rFonts w:ascii="Times New Roman" w:hAnsi="Times New Roman" w:cs="Times New Roman"/>
          <w:sz w:val="20"/>
        </w:rPr>
        <w:t>Husky Oil Operations Ltd., Tucker Thermal Project,  Commercial Scheme #9835, Annual Performance Presentation, Energy Resources Conservation Board, June 27, 2011</w:t>
      </w:r>
      <w:r w:rsidR="00EE4ED6">
        <w:rPr>
          <w:rFonts w:ascii="Times New Roman" w:hAnsi="Times New Roman" w:cs="Times New Roman"/>
          <w:sz w:val="20"/>
        </w:rPr>
        <w:t>.</w:t>
      </w:r>
    </w:p>
    <w:p w:rsidR="006C02CB" w:rsidRPr="00EE4ED6" w:rsidRDefault="006C02CB" w:rsidP="00060E16">
      <w:pPr>
        <w:pStyle w:val="ListParagraph"/>
        <w:numPr>
          <w:ilvl w:val="0"/>
          <w:numId w:val="36"/>
        </w:numPr>
        <w:spacing w:after="120"/>
        <w:ind w:left="567" w:hanging="425"/>
        <w:contextualSpacing w:val="0"/>
        <w:rPr>
          <w:rFonts w:ascii="Times New Roman" w:hAnsi="Times New Roman" w:cs="Times New Roman"/>
          <w:sz w:val="20"/>
        </w:rPr>
      </w:pPr>
      <w:r w:rsidRPr="00EE4ED6">
        <w:rPr>
          <w:rFonts w:ascii="Times New Roman" w:hAnsi="Times New Roman" w:cs="Times New Roman"/>
          <w:sz w:val="20"/>
        </w:rPr>
        <w:t xml:space="preserve">A.K. Mehrotra and W.Y. Svrcek, “Correlation and Prediction of Gas Solubility in Cold Lake Bitumen”, </w:t>
      </w:r>
      <w:proofErr w:type="gramStart"/>
      <w:r w:rsidRPr="00EE4ED6">
        <w:rPr>
          <w:rFonts w:ascii="Times New Roman" w:hAnsi="Times New Roman" w:cs="Times New Roman"/>
          <w:sz w:val="20"/>
        </w:rPr>
        <w:t>The</w:t>
      </w:r>
      <w:proofErr w:type="gramEnd"/>
      <w:r w:rsidRPr="00EE4ED6">
        <w:rPr>
          <w:rFonts w:ascii="Times New Roman" w:hAnsi="Times New Roman" w:cs="Times New Roman"/>
          <w:sz w:val="20"/>
        </w:rPr>
        <w:t xml:space="preserve"> Canadian Journal of Chemical Engineering, Vol 66, August 1988.</w:t>
      </w:r>
    </w:p>
    <w:p w:rsidR="006C02CB" w:rsidRPr="00EE4ED6" w:rsidRDefault="006C02CB" w:rsidP="00060E16">
      <w:pPr>
        <w:pStyle w:val="ListParagraph"/>
        <w:numPr>
          <w:ilvl w:val="0"/>
          <w:numId w:val="36"/>
        </w:numPr>
        <w:spacing w:after="120"/>
        <w:ind w:left="567" w:hanging="425"/>
        <w:contextualSpacing w:val="0"/>
        <w:rPr>
          <w:rFonts w:ascii="Times New Roman" w:hAnsi="Times New Roman" w:cs="Times New Roman"/>
          <w:sz w:val="20"/>
        </w:rPr>
      </w:pPr>
      <w:r w:rsidRPr="00EE4ED6">
        <w:rPr>
          <w:rFonts w:ascii="Times New Roman" w:hAnsi="Times New Roman" w:cs="Times New Roman"/>
          <w:sz w:val="20"/>
        </w:rPr>
        <w:t>Harald F. Thimm, “Overview of SAGD Operations: Gas, Solvents and Water”, Canadian Heavy Oil Association Dec 2006</w:t>
      </w:r>
      <w:r w:rsidR="00EE4ED6">
        <w:rPr>
          <w:rFonts w:ascii="Times New Roman" w:hAnsi="Times New Roman" w:cs="Times New Roman"/>
          <w:sz w:val="20"/>
        </w:rPr>
        <w:t>.</w:t>
      </w:r>
    </w:p>
    <w:p w:rsidR="006C02CB" w:rsidRPr="00EE4ED6" w:rsidRDefault="006C02CB" w:rsidP="00060E16">
      <w:pPr>
        <w:pStyle w:val="ListParagraph"/>
        <w:numPr>
          <w:ilvl w:val="0"/>
          <w:numId w:val="36"/>
        </w:numPr>
        <w:spacing w:after="120"/>
        <w:ind w:left="567" w:hanging="425"/>
        <w:contextualSpacing w:val="0"/>
        <w:rPr>
          <w:rFonts w:ascii="Times New Roman" w:hAnsi="Times New Roman" w:cs="Times New Roman"/>
          <w:sz w:val="20"/>
        </w:rPr>
      </w:pPr>
      <w:r w:rsidRPr="00EE4ED6">
        <w:rPr>
          <w:rFonts w:ascii="Times New Roman" w:hAnsi="Times New Roman" w:cs="Times New Roman"/>
          <w:sz w:val="20"/>
        </w:rPr>
        <w:t>Roger Butler, “Thermal Recovery of Oil and Bitumen”, equation 2 Pg. 510</w:t>
      </w:r>
      <w:r w:rsidR="00EE4ED6">
        <w:rPr>
          <w:rFonts w:ascii="Times New Roman" w:hAnsi="Times New Roman" w:cs="Times New Roman"/>
          <w:sz w:val="20"/>
        </w:rPr>
        <w:t>.</w:t>
      </w:r>
    </w:p>
    <w:p w:rsidR="006C02CB" w:rsidRPr="00DD58DF" w:rsidRDefault="006C02CB" w:rsidP="006C02CB"/>
    <w:p w:rsidR="006C02CB" w:rsidRPr="007540CE" w:rsidRDefault="006C02CB" w:rsidP="001F7033">
      <w:pPr>
        <w:pStyle w:val="BodyText"/>
        <w:rPr>
          <w:lang w:val="en-US"/>
        </w:rPr>
      </w:pPr>
    </w:p>
    <w:p w:rsidR="006D4182" w:rsidRPr="006D4182" w:rsidRDefault="006D4182" w:rsidP="006D4182">
      <w:pPr>
        <w:pStyle w:val="BodyText"/>
      </w:pPr>
    </w:p>
    <w:sectPr w:rsidR="006D4182" w:rsidRPr="006D4182" w:rsidSect="003648B8">
      <w:pgSz w:w="12240" w:h="15840"/>
      <w:pgMar w:top="1440" w:right="1440" w:bottom="1440" w:left="1800" w:header="720" w:footer="720" w:gutter="0"/>
      <w:cols w:space="72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37123" w:rsidRDefault="00937123" w:rsidP="006469D5">
      <w:r>
        <w:separator/>
      </w:r>
    </w:p>
  </w:endnote>
  <w:endnote w:type="continuationSeparator" w:id="0">
    <w:p w:rsidR="00937123" w:rsidRDefault="00937123" w:rsidP="006469D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Times">
    <w:panose1 w:val="02020603050405020304"/>
    <w:charset w:val="00"/>
    <w:family w:val="roman"/>
    <w:pitch w:val="variable"/>
    <w:sig w:usb0="20002A87" w:usb1="80000000" w:usb2="00000008" w:usb3="00000000" w:csb0="000001FF" w:csb1="00000000"/>
  </w:font>
  <w:font w:name="Consolas">
    <w:panose1 w:val="020B0609020204030204"/>
    <w:charset w:val="00"/>
    <w:family w:val="modern"/>
    <w:pitch w:val="fixed"/>
    <w:sig w:usb0="A00002EF" w:usb1="4000204B"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TimesNewRomanPSMT">
    <w:altName w:val="Times New Roman"/>
    <w:panose1 w:val="00000000000000000000"/>
    <w:charset w:val="4D"/>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06035034"/>
      <w:docPartObj>
        <w:docPartGallery w:val="Page Numbers (Bottom of Page)"/>
        <w:docPartUnique/>
      </w:docPartObj>
    </w:sdtPr>
    <w:sdtEndPr>
      <w:rPr>
        <w:sz w:val="20"/>
      </w:rPr>
    </w:sdtEndPr>
    <w:sdtContent>
      <w:p w:rsidR="00937123" w:rsidRDefault="00575CA7" w:rsidP="00BA4089">
        <w:pPr>
          <w:pStyle w:val="Footer"/>
          <w:tabs>
            <w:tab w:val="clear" w:pos="4680"/>
            <w:tab w:val="clear" w:pos="9360"/>
            <w:tab w:val="center" w:pos="4111"/>
            <w:tab w:val="right" w:pos="8931"/>
          </w:tabs>
          <w:ind w:firstLine="4111"/>
          <w:jc w:val="center"/>
        </w:pPr>
        <w:r w:rsidRPr="0062766E">
          <w:rPr>
            <w:sz w:val="20"/>
          </w:rPr>
          <w:fldChar w:fldCharType="begin"/>
        </w:r>
        <w:r w:rsidR="00937123" w:rsidRPr="0062766E">
          <w:rPr>
            <w:sz w:val="20"/>
          </w:rPr>
          <w:instrText xml:space="preserve"> PAGE   \* MERGEFORMAT </w:instrText>
        </w:r>
        <w:r w:rsidRPr="0062766E">
          <w:rPr>
            <w:sz w:val="20"/>
          </w:rPr>
          <w:fldChar w:fldCharType="separate"/>
        </w:r>
        <w:r w:rsidR="00794F48">
          <w:rPr>
            <w:noProof/>
            <w:sz w:val="20"/>
          </w:rPr>
          <w:t>5</w:t>
        </w:r>
        <w:r w:rsidRPr="0062766E">
          <w:rPr>
            <w:sz w:val="20"/>
          </w:rPr>
          <w:fldChar w:fldCharType="end"/>
        </w:r>
        <w:r w:rsidR="00937123">
          <w:rPr>
            <w:sz w:val="20"/>
          </w:rPr>
          <w:tab/>
        </w:r>
        <w:r w:rsidR="00937123" w:rsidRPr="004D2239">
          <w:rPr>
            <w:sz w:val="20"/>
          </w:rPr>
          <w:t xml:space="preserve">ALCES Landscape and </w:t>
        </w:r>
        <w:r w:rsidR="00937123">
          <w:rPr>
            <w:sz w:val="20"/>
          </w:rPr>
          <w:t>Land-use</w:t>
        </w:r>
        <w:r w:rsidR="00937123" w:rsidRPr="004D2239">
          <w:rPr>
            <w:sz w:val="20"/>
          </w:rPr>
          <w:t xml:space="preserve"> Ltd</w:t>
        </w:r>
      </w:p>
    </w:sdtContent>
  </w:sdt>
  <w:p w:rsidR="00937123" w:rsidRDefault="00937123">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5958748"/>
      <w:docPartObj>
        <w:docPartGallery w:val="Page Numbers (Bottom of Page)"/>
        <w:docPartUnique/>
      </w:docPartObj>
    </w:sdtPr>
    <w:sdtEndPr>
      <w:rPr>
        <w:sz w:val="20"/>
      </w:rPr>
    </w:sdtEndPr>
    <w:sdtContent>
      <w:p w:rsidR="00937123" w:rsidRDefault="00575CA7" w:rsidP="0062766E">
        <w:pPr>
          <w:pStyle w:val="Footer"/>
          <w:ind w:firstLine="4680"/>
          <w:jc w:val="center"/>
        </w:pPr>
        <w:r w:rsidRPr="0062766E">
          <w:rPr>
            <w:sz w:val="20"/>
          </w:rPr>
          <w:fldChar w:fldCharType="begin"/>
        </w:r>
        <w:r w:rsidR="00937123" w:rsidRPr="0062766E">
          <w:rPr>
            <w:sz w:val="20"/>
          </w:rPr>
          <w:instrText xml:space="preserve"> PAGE   \* MERGEFORMAT </w:instrText>
        </w:r>
        <w:r w:rsidRPr="0062766E">
          <w:rPr>
            <w:sz w:val="20"/>
          </w:rPr>
          <w:fldChar w:fldCharType="separate"/>
        </w:r>
        <w:r w:rsidR="00794F48">
          <w:rPr>
            <w:noProof/>
            <w:sz w:val="20"/>
          </w:rPr>
          <w:t>149</w:t>
        </w:r>
        <w:r w:rsidRPr="0062766E">
          <w:rPr>
            <w:sz w:val="20"/>
          </w:rPr>
          <w:fldChar w:fldCharType="end"/>
        </w:r>
        <w:r w:rsidR="00937123">
          <w:rPr>
            <w:sz w:val="20"/>
          </w:rPr>
          <w:tab/>
        </w:r>
        <w:r w:rsidR="00937123" w:rsidRPr="004D2239">
          <w:rPr>
            <w:sz w:val="20"/>
          </w:rPr>
          <w:t xml:space="preserve">ALCES Landscape and </w:t>
        </w:r>
        <w:r w:rsidR="00937123">
          <w:rPr>
            <w:sz w:val="20"/>
          </w:rPr>
          <w:t>Land-use</w:t>
        </w:r>
        <w:r w:rsidR="00937123" w:rsidRPr="004D2239">
          <w:rPr>
            <w:sz w:val="20"/>
          </w:rPr>
          <w:t xml:space="preserve"> Ltd</w:t>
        </w:r>
      </w:p>
    </w:sdtContent>
  </w:sdt>
  <w:p w:rsidR="00937123" w:rsidRDefault="0093712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37123" w:rsidRDefault="00937123" w:rsidP="006469D5">
      <w:r>
        <w:separator/>
      </w:r>
    </w:p>
  </w:footnote>
  <w:footnote w:type="continuationSeparator" w:id="0">
    <w:p w:rsidR="00937123" w:rsidRDefault="00937123" w:rsidP="006469D5">
      <w:r>
        <w:continuationSeparator/>
      </w:r>
    </w:p>
  </w:footnote>
  <w:footnote w:id="1">
    <w:p w:rsidR="00937123" w:rsidRDefault="00937123" w:rsidP="00360B31">
      <w:pPr>
        <w:pStyle w:val="FootnoteText"/>
      </w:pPr>
    </w:p>
  </w:footnote>
  <w:footnote w:id="2">
    <w:p w:rsidR="00937123" w:rsidRDefault="00937123" w:rsidP="00360B31">
      <w:pPr>
        <w:pStyle w:val="FootnoteText"/>
      </w:pPr>
    </w:p>
  </w:footnote>
  <w:footnote w:id="3">
    <w:p w:rsidR="00937123" w:rsidRDefault="00937123" w:rsidP="00D1420C">
      <w:pPr>
        <w:pStyle w:val="FootnoteText"/>
      </w:pPr>
      <w:r>
        <w:rPr>
          <w:rStyle w:val="FootnoteReference"/>
        </w:rPr>
        <w:footnoteRef/>
      </w:r>
      <w:r>
        <w:t xml:space="preserve"> The seismic inventory was corrected so that total seismic length equaled the provincial total, as calculated by ABMI from circa 2008 Alberta Sustainable Resource Development that were not available for this project.  The correction factor applied to the CanVec seismic inventory varied across natural subregions, based on subsamples from each natural subregion that were assessed using SPOT5 2007 imagery and compared to CanVec.</w:t>
      </w:r>
    </w:p>
  </w:footnote>
  <w:footnote w:id="4">
    <w:p w:rsidR="00937123" w:rsidRDefault="00937123" w:rsidP="00D1420C">
      <w:pPr>
        <w:pStyle w:val="FootnoteText"/>
      </w:pPr>
      <w:r>
        <w:rPr>
          <w:rStyle w:val="FootnoteReference"/>
        </w:rPr>
        <w:footnoteRef/>
      </w:r>
      <w:r>
        <w:t xml:space="preserve"> The spatial footprints of a subset of Alberta’s settlement were digitized, and used to fit a relationship between settlement size and population.  The relationship was then applied to estimate the size of settlements whose footprint was not digitized.</w:t>
      </w:r>
    </w:p>
  </w:footnote>
  <w:footnote w:id="5">
    <w:p w:rsidR="00937123" w:rsidRDefault="00937123" w:rsidP="00D1420C">
      <w:pPr>
        <w:pStyle w:val="FootnoteText"/>
      </w:pPr>
      <w:r>
        <w:rPr>
          <w:rStyle w:val="FootnoteReference"/>
        </w:rPr>
        <w:footnoteRef/>
      </w:r>
      <w:r>
        <w:t xml:space="preserve"> AAC intensity among 10 x 10 cell blocks varied from 0 to 1.69 m3/ha.</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7123" w:rsidRPr="005558A7" w:rsidRDefault="00937123" w:rsidP="007B7F7F">
    <w:pPr>
      <w:pStyle w:val="Header"/>
      <w:tabs>
        <w:tab w:val="clear" w:pos="4320"/>
        <w:tab w:val="clear" w:pos="8640"/>
        <w:tab w:val="center" w:pos="3828"/>
        <w:tab w:val="right" w:pos="9072"/>
      </w:tabs>
      <w:ind w:right="-432"/>
      <w:jc w:val="right"/>
      <w:rPr>
        <w:sz w:val="22"/>
      </w:rPr>
    </w:pPr>
    <w:r>
      <w:t xml:space="preserve">                                              </w:t>
    </w:r>
    <w:r w:rsidRPr="005558A7">
      <w:rPr>
        <w:sz w:val="22"/>
      </w:rPr>
      <w:t xml:space="preserve">Cold Lake First Nations </w:t>
    </w:r>
    <w:r>
      <w:rPr>
        <w:sz w:val="22"/>
      </w:rPr>
      <w:t>Land-use</w:t>
    </w:r>
    <w:r w:rsidRPr="005558A7">
      <w:rPr>
        <w:sz w:val="22"/>
      </w:rPr>
      <w:t xml:space="preserve"> Cumulative Effects Assessment</w:t>
    </w:r>
  </w:p>
  <w:p w:rsidR="00937123" w:rsidRDefault="00937123">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2DD245B2"/>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4CF2E05"/>
    <w:multiLevelType w:val="singleLevel"/>
    <w:tmpl w:val="AD006CBE"/>
    <w:lvl w:ilvl="0">
      <w:start w:val="1"/>
      <w:numFmt w:val="decimal"/>
      <w:pStyle w:val="FigureTitle"/>
      <w:lvlText w:val="Figure %1."/>
      <w:lvlJc w:val="left"/>
      <w:pPr>
        <w:tabs>
          <w:tab w:val="num" w:pos="2291"/>
        </w:tabs>
        <w:ind w:left="1931" w:hanging="1080"/>
      </w:pPr>
      <w:rPr>
        <w:rFonts w:ascii="Arial" w:hAnsi="Arial" w:hint="default"/>
        <w:sz w:val="24"/>
      </w:rPr>
    </w:lvl>
  </w:abstractNum>
  <w:abstractNum w:abstractNumId="2">
    <w:nsid w:val="07085C15"/>
    <w:multiLevelType w:val="hybridMultilevel"/>
    <w:tmpl w:val="DBF2693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nsid w:val="0DA828EF"/>
    <w:multiLevelType w:val="hybridMultilevel"/>
    <w:tmpl w:val="3B76972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
    <w:nsid w:val="0F9F68E3"/>
    <w:multiLevelType w:val="hybridMultilevel"/>
    <w:tmpl w:val="45E6049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16364C9B"/>
    <w:multiLevelType w:val="singleLevel"/>
    <w:tmpl w:val="C1A8D698"/>
    <w:lvl w:ilvl="0">
      <w:start w:val="1"/>
      <w:numFmt w:val="decimal"/>
      <w:pStyle w:val="TableTitle3"/>
      <w:lvlText w:val="Table 3-%1."/>
      <w:lvlJc w:val="left"/>
      <w:pPr>
        <w:tabs>
          <w:tab w:val="num" w:pos="1440"/>
        </w:tabs>
        <w:ind w:left="1440" w:hanging="1440"/>
      </w:pPr>
      <w:rPr>
        <w:rFonts w:ascii="Arial" w:hAnsi="Arial" w:hint="default"/>
        <w:sz w:val="24"/>
      </w:rPr>
    </w:lvl>
  </w:abstractNum>
  <w:abstractNum w:abstractNumId="6">
    <w:nsid w:val="1A4E45A2"/>
    <w:multiLevelType w:val="hybridMultilevel"/>
    <w:tmpl w:val="58229078"/>
    <w:lvl w:ilvl="0" w:tplc="A19EC5AE">
      <w:start w:val="1"/>
      <w:numFmt w:val="bullet"/>
      <w:lvlText w:val=""/>
      <w:lvlJc w:val="left"/>
      <w:pPr>
        <w:ind w:left="720" w:hanging="360"/>
      </w:pPr>
      <w:rPr>
        <w:rFonts w:ascii="Symbol" w:hAnsi="Symbol" w:hint="default"/>
      </w:rPr>
    </w:lvl>
    <w:lvl w:ilvl="1" w:tplc="3984E186" w:tentative="1">
      <w:start w:val="1"/>
      <w:numFmt w:val="bullet"/>
      <w:lvlText w:val="o"/>
      <w:lvlJc w:val="left"/>
      <w:pPr>
        <w:ind w:left="1440" w:hanging="360"/>
      </w:pPr>
      <w:rPr>
        <w:rFonts w:ascii="Courier New" w:hAnsi="Courier New" w:cs="Courier New" w:hint="default"/>
      </w:rPr>
    </w:lvl>
    <w:lvl w:ilvl="2" w:tplc="8B3CE77C" w:tentative="1">
      <w:start w:val="1"/>
      <w:numFmt w:val="bullet"/>
      <w:lvlText w:val=""/>
      <w:lvlJc w:val="left"/>
      <w:pPr>
        <w:ind w:left="2160" w:hanging="360"/>
      </w:pPr>
      <w:rPr>
        <w:rFonts w:ascii="Wingdings" w:hAnsi="Wingdings" w:hint="default"/>
      </w:rPr>
    </w:lvl>
    <w:lvl w:ilvl="3" w:tplc="3926E8F6" w:tentative="1">
      <w:start w:val="1"/>
      <w:numFmt w:val="bullet"/>
      <w:lvlText w:val=""/>
      <w:lvlJc w:val="left"/>
      <w:pPr>
        <w:ind w:left="2880" w:hanging="360"/>
      </w:pPr>
      <w:rPr>
        <w:rFonts w:ascii="Symbol" w:hAnsi="Symbol" w:hint="default"/>
      </w:rPr>
    </w:lvl>
    <w:lvl w:ilvl="4" w:tplc="AB1A749E" w:tentative="1">
      <w:start w:val="1"/>
      <w:numFmt w:val="bullet"/>
      <w:lvlText w:val="o"/>
      <w:lvlJc w:val="left"/>
      <w:pPr>
        <w:ind w:left="3600" w:hanging="360"/>
      </w:pPr>
      <w:rPr>
        <w:rFonts w:ascii="Courier New" w:hAnsi="Courier New" w:cs="Courier New" w:hint="default"/>
      </w:rPr>
    </w:lvl>
    <w:lvl w:ilvl="5" w:tplc="6FF8FB44" w:tentative="1">
      <w:start w:val="1"/>
      <w:numFmt w:val="bullet"/>
      <w:lvlText w:val=""/>
      <w:lvlJc w:val="left"/>
      <w:pPr>
        <w:ind w:left="4320" w:hanging="360"/>
      </w:pPr>
      <w:rPr>
        <w:rFonts w:ascii="Wingdings" w:hAnsi="Wingdings" w:hint="default"/>
      </w:rPr>
    </w:lvl>
    <w:lvl w:ilvl="6" w:tplc="111A5E36" w:tentative="1">
      <w:start w:val="1"/>
      <w:numFmt w:val="bullet"/>
      <w:lvlText w:val=""/>
      <w:lvlJc w:val="left"/>
      <w:pPr>
        <w:ind w:left="5040" w:hanging="360"/>
      </w:pPr>
      <w:rPr>
        <w:rFonts w:ascii="Symbol" w:hAnsi="Symbol" w:hint="default"/>
      </w:rPr>
    </w:lvl>
    <w:lvl w:ilvl="7" w:tplc="B456EE6E" w:tentative="1">
      <w:start w:val="1"/>
      <w:numFmt w:val="bullet"/>
      <w:lvlText w:val="o"/>
      <w:lvlJc w:val="left"/>
      <w:pPr>
        <w:ind w:left="5760" w:hanging="360"/>
      </w:pPr>
      <w:rPr>
        <w:rFonts w:ascii="Courier New" w:hAnsi="Courier New" w:cs="Courier New" w:hint="default"/>
      </w:rPr>
    </w:lvl>
    <w:lvl w:ilvl="8" w:tplc="9A1A81CA" w:tentative="1">
      <w:start w:val="1"/>
      <w:numFmt w:val="bullet"/>
      <w:lvlText w:val=""/>
      <w:lvlJc w:val="left"/>
      <w:pPr>
        <w:ind w:left="6480" w:hanging="360"/>
      </w:pPr>
      <w:rPr>
        <w:rFonts w:ascii="Wingdings" w:hAnsi="Wingdings" w:hint="default"/>
      </w:rPr>
    </w:lvl>
  </w:abstractNum>
  <w:abstractNum w:abstractNumId="7">
    <w:nsid w:val="1B315FBE"/>
    <w:multiLevelType w:val="hybridMultilevel"/>
    <w:tmpl w:val="246CAD84"/>
    <w:lvl w:ilvl="0" w:tplc="04090001">
      <w:start w:val="1"/>
      <w:numFmt w:val="decimal"/>
      <w:lvlText w:val="%1."/>
      <w:lvlJc w:val="left"/>
      <w:pPr>
        <w:ind w:left="1080" w:hanging="360"/>
      </w:pPr>
      <w:rPr>
        <w:rFonts w:hint="default"/>
      </w:r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8">
    <w:nsid w:val="1C6930C2"/>
    <w:multiLevelType w:val="hybridMultilevel"/>
    <w:tmpl w:val="8A5A12D0"/>
    <w:lvl w:ilvl="0" w:tplc="A4061050">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nsid w:val="1DA02CD5"/>
    <w:multiLevelType w:val="hybridMultilevel"/>
    <w:tmpl w:val="FF68F9EA"/>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0">
    <w:nsid w:val="1ED92EF6"/>
    <w:multiLevelType w:val="hybridMultilevel"/>
    <w:tmpl w:val="859E9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F6B0070"/>
    <w:multiLevelType w:val="hybridMultilevel"/>
    <w:tmpl w:val="E8024BAC"/>
    <w:lvl w:ilvl="0" w:tplc="10090001">
      <w:start w:val="1"/>
      <w:numFmt w:val="decimal"/>
      <w:lvlText w:val="%1."/>
      <w:lvlJc w:val="left"/>
      <w:pPr>
        <w:ind w:left="720" w:hanging="360"/>
      </w:pPr>
    </w:lvl>
    <w:lvl w:ilvl="1" w:tplc="10090003" w:tentative="1">
      <w:start w:val="1"/>
      <w:numFmt w:val="lowerLetter"/>
      <w:lvlText w:val="%2."/>
      <w:lvlJc w:val="left"/>
      <w:pPr>
        <w:ind w:left="1440" w:hanging="360"/>
      </w:pPr>
    </w:lvl>
    <w:lvl w:ilvl="2" w:tplc="10090005" w:tentative="1">
      <w:start w:val="1"/>
      <w:numFmt w:val="lowerRoman"/>
      <w:lvlText w:val="%3."/>
      <w:lvlJc w:val="right"/>
      <w:pPr>
        <w:ind w:left="2160" w:hanging="180"/>
      </w:pPr>
    </w:lvl>
    <w:lvl w:ilvl="3" w:tplc="10090001" w:tentative="1">
      <w:start w:val="1"/>
      <w:numFmt w:val="decimal"/>
      <w:lvlText w:val="%4."/>
      <w:lvlJc w:val="left"/>
      <w:pPr>
        <w:ind w:left="2880" w:hanging="360"/>
      </w:pPr>
    </w:lvl>
    <w:lvl w:ilvl="4" w:tplc="10090003" w:tentative="1">
      <w:start w:val="1"/>
      <w:numFmt w:val="lowerLetter"/>
      <w:lvlText w:val="%5."/>
      <w:lvlJc w:val="left"/>
      <w:pPr>
        <w:ind w:left="3600" w:hanging="360"/>
      </w:pPr>
    </w:lvl>
    <w:lvl w:ilvl="5" w:tplc="10090005" w:tentative="1">
      <w:start w:val="1"/>
      <w:numFmt w:val="lowerRoman"/>
      <w:lvlText w:val="%6."/>
      <w:lvlJc w:val="right"/>
      <w:pPr>
        <w:ind w:left="4320" w:hanging="180"/>
      </w:pPr>
    </w:lvl>
    <w:lvl w:ilvl="6" w:tplc="10090001" w:tentative="1">
      <w:start w:val="1"/>
      <w:numFmt w:val="decimal"/>
      <w:lvlText w:val="%7."/>
      <w:lvlJc w:val="left"/>
      <w:pPr>
        <w:ind w:left="5040" w:hanging="360"/>
      </w:pPr>
    </w:lvl>
    <w:lvl w:ilvl="7" w:tplc="10090003" w:tentative="1">
      <w:start w:val="1"/>
      <w:numFmt w:val="lowerLetter"/>
      <w:lvlText w:val="%8."/>
      <w:lvlJc w:val="left"/>
      <w:pPr>
        <w:ind w:left="5760" w:hanging="360"/>
      </w:pPr>
    </w:lvl>
    <w:lvl w:ilvl="8" w:tplc="10090005" w:tentative="1">
      <w:start w:val="1"/>
      <w:numFmt w:val="lowerRoman"/>
      <w:lvlText w:val="%9."/>
      <w:lvlJc w:val="right"/>
      <w:pPr>
        <w:ind w:left="6480" w:hanging="180"/>
      </w:pPr>
    </w:lvl>
  </w:abstractNum>
  <w:abstractNum w:abstractNumId="12">
    <w:nsid w:val="22CE0460"/>
    <w:multiLevelType w:val="hybridMultilevel"/>
    <w:tmpl w:val="0456952E"/>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3">
    <w:nsid w:val="287413E7"/>
    <w:multiLevelType w:val="hybridMultilevel"/>
    <w:tmpl w:val="59AA2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879551C"/>
    <w:multiLevelType w:val="hybridMultilevel"/>
    <w:tmpl w:val="962CB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AD6CFA"/>
    <w:multiLevelType w:val="singleLevel"/>
    <w:tmpl w:val="8DA68C64"/>
    <w:lvl w:ilvl="0">
      <w:start w:val="1"/>
      <w:numFmt w:val="decimal"/>
      <w:pStyle w:val="TableTitle2"/>
      <w:lvlText w:val="Table 2-%1."/>
      <w:lvlJc w:val="left"/>
      <w:pPr>
        <w:tabs>
          <w:tab w:val="num" w:pos="1440"/>
        </w:tabs>
        <w:ind w:left="1440" w:hanging="1440"/>
      </w:pPr>
      <w:rPr>
        <w:rFonts w:ascii="Arial" w:hAnsi="Arial" w:hint="default"/>
        <w:sz w:val="24"/>
      </w:rPr>
    </w:lvl>
  </w:abstractNum>
  <w:abstractNum w:abstractNumId="16">
    <w:nsid w:val="2D567CC9"/>
    <w:multiLevelType w:val="hybridMultilevel"/>
    <w:tmpl w:val="D7C687C2"/>
    <w:lvl w:ilvl="0" w:tplc="DC60E56E">
      <w:start w:val="1"/>
      <w:numFmt w:val="decimal"/>
      <w:lvlText w:val="%1."/>
      <w:lvlJc w:val="left"/>
      <w:pPr>
        <w:ind w:left="720" w:hanging="360"/>
      </w:pPr>
    </w:lvl>
    <w:lvl w:ilvl="1" w:tplc="685605EE" w:tentative="1">
      <w:start w:val="1"/>
      <w:numFmt w:val="lowerLetter"/>
      <w:lvlText w:val="%2."/>
      <w:lvlJc w:val="left"/>
      <w:pPr>
        <w:ind w:left="1440" w:hanging="360"/>
      </w:pPr>
    </w:lvl>
    <w:lvl w:ilvl="2" w:tplc="DAACBCA8" w:tentative="1">
      <w:start w:val="1"/>
      <w:numFmt w:val="lowerRoman"/>
      <w:lvlText w:val="%3."/>
      <w:lvlJc w:val="right"/>
      <w:pPr>
        <w:ind w:left="2160" w:hanging="180"/>
      </w:pPr>
    </w:lvl>
    <w:lvl w:ilvl="3" w:tplc="F0AEFFD0" w:tentative="1">
      <w:start w:val="1"/>
      <w:numFmt w:val="decimal"/>
      <w:lvlText w:val="%4."/>
      <w:lvlJc w:val="left"/>
      <w:pPr>
        <w:ind w:left="2880" w:hanging="360"/>
      </w:pPr>
    </w:lvl>
    <w:lvl w:ilvl="4" w:tplc="76B208B6" w:tentative="1">
      <w:start w:val="1"/>
      <w:numFmt w:val="lowerLetter"/>
      <w:lvlText w:val="%5."/>
      <w:lvlJc w:val="left"/>
      <w:pPr>
        <w:ind w:left="3600" w:hanging="360"/>
      </w:pPr>
    </w:lvl>
    <w:lvl w:ilvl="5" w:tplc="A6BAD10C" w:tentative="1">
      <w:start w:val="1"/>
      <w:numFmt w:val="lowerRoman"/>
      <w:lvlText w:val="%6."/>
      <w:lvlJc w:val="right"/>
      <w:pPr>
        <w:ind w:left="4320" w:hanging="180"/>
      </w:pPr>
    </w:lvl>
    <w:lvl w:ilvl="6" w:tplc="59440C38" w:tentative="1">
      <w:start w:val="1"/>
      <w:numFmt w:val="decimal"/>
      <w:lvlText w:val="%7."/>
      <w:lvlJc w:val="left"/>
      <w:pPr>
        <w:ind w:left="5040" w:hanging="360"/>
      </w:pPr>
    </w:lvl>
    <w:lvl w:ilvl="7" w:tplc="45066118" w:tentative="1">
      <w:start w:val="1"/>
      <w:numFmt w:val="lowerLetter"/>
      <w:lvlText w:val="%8."/>
      <w:lvlJc w:val="left"/>
      <w:pPr>
        <w:ind w:left="5760" w:hanging="360"/>
      </w:pPr>
    </w:lvl>
    <w:lvl w:ilvl="8" w:tplc="330CE3F0" w:tentative="1">
      <w:start w:val="1"/>
      <w:numFmt w:val="lowerRoman"/>
      <w:lvlText w:val="%9."/>
      <w:lvlJc w:val="right"/>
      <w:pPr>
        <w:ind w:left="6480" w:hanging="180"/>
      </w:pPr>
    </w:lvl>
  </w:abstractNum>
  <w:abstractNum w:abstractNumId="17">
    <w:nsid w:val="32227F2B"/>
    <w:multiLevelType w:val="hybridMultilevel"/>
    <w:tmpl w:val="F3A4A24E"/>
    <w:lvl w:ilvl="0" w:tplc="1009000F">
      <w:start w:val="1"/>
      <w:numFmt w:val="bullet"/>
      <w:lvlText w:val=""/>
      <w:lvlJc w:val="left"/>
      <w:pPr>
        <w:ind w:left="360" w:hanging="360"/>
      </w:pPr>
      <w:rPr>
        <w:rFonts w:ascii="Symbol" w:hAnsi="Symbol" w:hint="default"/>
      </w:rPr>
    </w:lvl>
    <w:lvl w:ilvl="1" w:tplc="10090019" w:tentative="1">
      <w:start w:val="1"/>
      <w:numFmt w:val="bullet"/>
      <w:lvlText w:val="o"/>
      <w:lvlJc w:val="left"/>
      <w:pPr>
        <w:ind w:left="1080" w:hanging="360"/>
      </w:pPr>
      <w:rPr>
        <w:rFonts w:ascii="Courier New" w:hAnsi="Courier New" w:cs="Courier New" w:hint="default"/>
      </w:rPr>
    </w:lvl>
    <w:lvl w:ilvl="2" w:tplc="1009001B" w:tentative="1">
      <w:start w:val="1"/>
      <w:numFmt w:val="bullet"/>
      <w:lvlText w:val=""/>
      <w:lvlJc w:val="left"/>
      <w:pPr>
        <w:ind w:left="1800" w:hanging="360"/>
      </w:pPr>
      <w:rPr>
        <w:rFonts w:ascii="Wingdings" w:hAnsi="Wingdings" w:hint="default"/>
      </w:rPr>
    </w:lvl>
    <w:lvl w:ilvl="3" w:tplc="1009000F" w:tentative="1">
      <w:start w:val="1"/>
      <w:numFmt w:val="bullet"/>
      <w:lvlText w:val=""/>
      <w:lvlJc w:val="left"/>
      <w:pPr>
        <w:ind w:left="2520" w:hanging="360"/>
      </w:pPr>
      <w:rPr>
        <w:rFonts w:ascii="Symbol" w:hAnsi="Symbol" w:hint="default"/>
      </w:rPr>
    </w:lvl>
    <w:lvl w:ilvl="4" w:tplc="10090019" w:tentative="1">
      <w:start w:val="1"/>
      <w:numFmt w:val="bullet"/>
      <w:lvlText w:val="o"/>
      <w:lvlJc w:val="left"/>
      <w:pPr>
        <w:ind w:left="3240" w:hanging="360"/>
      </w:pPr>
      <w:rPr>
        <w:rFonts w:ascii="Courier New" w:hAnsi="Courier New" w:cs="Courier New" w:hint="default"/>
      </w:rPr>
    </w:lvl>
    <w:lvl w:ilvl="5" w:tplc="1009001B" w:tentative="1">
      <w:start w:val="1"/>
      <w:numFmt w:val="bullet"/>
      <w:lvlText w:val=""/>
      <w:lvlJc w:val="left"/>
      <w:pPr>
        <w:ind w:left="3960" w:hanging="360"/>
      </w:pPr>
      <w:rPr>
        <w:rFonts w:ascii="Wingdings" w:hAnsi="Wingdings" w:hint="default"/>
      </w:rPr>
    </w:lvl>
    <w:lvl w:ilvl="6" w:tplc="1009000F" w:tentative="1">
      <w:start w:val="1"/>
      <w:numFmt w:val="bullet"/>
      <w:lvlText w:val=""/>
      <w:lvlJc w:val="left"/>
      <w:pPr>
        <w:ind w:left="4680" w:hanging="360"/>
      </w:pPr>
      <w:rPr>
        <w:rFonts w:ascii="Symbol" w:hAnsi="Symbol" w:hint="default"/>
      </w:rPr>
    </w:lvl>
    <w:lvl w:ilvl="7" w:tplc="10090019" w:tentative="1">
      <w:start w:val="1"/>
      <w:numFmt w:val="bullet"/>
      <w:lvlText w:val="o"/>
      <w:lvlJc w:val="left"/>
      <w:pPr>
        <w:ind w:left="5400" w:hanging="360"/>
      </w:pPr>
      <w:rPr>
        <w:rFonts w:ascii="Courier New" w:hAnsi="Courier New" w:cs="Courier New" w:hint="default"/>
      </w:rPr>
    </w:lvl>
    <w:lvl w:ilvl="8" w:tplc="1009001B" w:tentative="1">
      <w:start w:val="1"/>
      <w:numFmt w:val="bullet"/>
      <w:lvlText w:val=""/>
      <w:lvlJc w:val="left"/>
      <w:pPr>
        <w:ind w:left="6120" w:hanging="360"/>
      </w:pPr>
      <w:rPr>
        <w:rFonts w:ascii="Wingdings" w:hAnsi="Wingdings" w:hint="default"/>
      </w:rPr>
    </w:lvl>
  </w:abstractNum>
  <w:abstractNum w:abstractNumId="18">
    <w:nsid w:val="360E6292"/>
    <w:multiLevelType w:val="singleLevel"/>
    <w:tmpl w:val="3426F54A"/>
    <w:lvl w:ilvl="0">
      <w:start w:val="1"/>
      <w:numFmt w:val="decimal"/>
      <w:pStyle w:val="NumberList"/>
      <w:lvlText w:val="%1."/>
      <w:legacy w:legacy="1" w:legacySpace="0" w:legacyIndent="259"/>
      <w:lvlJc w:val="left"/>
      <w:pPr>
        <w:ind w:left="979" w:hanging="259"/>
      </w:pPr>
    </w:lvl>
  </w:abstractNum>
  <w:abstractNum w:abstractNumId="19">
    <w:nsid w:val="3BF021DD"/>
    <w:multiLevelType w:val="hybridMultilevel"/>
    <w:tmpl w:val="8BA4BDEA"/>
    <w:lvl w:ilvl="0" w:tplc="8FBC8EF8">
      <w:start w:val="1"/>
      <w:numFmt w:val="bullet"/>
      <w:lvlText w:val=""/>
      <w:lvlJc w:val="left"/>
      <w:pPr>
        <w:ind w:left="720" w:hanging="360"/>
      </w:pPr>
      <w:rPr>
        <w:rFonts w:ascii="Symbol" w:hAnsi="Symbol" w:hint="default"/>
      </w:rPr>
    </w:lvl>
    <w:lvl w:ilvl="1" w:tplc="5B82017A" w:tentative="1">
      <w:start w:val="1"/>
      <w:numFmt w:val="bullet"/>
      <w:lvlText w:val="o"/>
      <w:lvlJc w:val="left"/>
      <w:pPr>
        <w:ind w:left="1440" w:hanging="360"/>
      </w:pPr>
      <w:rPr>
        <w:rFonts w:ascii="Courier New" w:hAnsi="Courier New" w:cs="Courier New" w:hint="default"/>
      </w:rPr>
    </w:lvl>
    <w:lvl w:ilvl="2" w:tplc="23889E58" w:tentative="1">
      <w:start w:val="1"/>
      <w:numFmt w:val="bullet"/>
      <w:lvlText w:val=""/>
      <w:lvlJc w:val="left"/>
      <w:pPr>
        <w:ind w:left="2160" w:hanging="360"/>
      </w:pPr>
      <w:rPr>
        <w:rFonts w:ascii="Wingdings" w:hAnsi="Wingdings" w:hint="default"/>
      </w:rPr>
    </w:lvl>
    <w:lvl w:ilvl="3" w:tplc="22C42020" w:tentative="1">
      <w:start w:val="1"/>
      <w:numFmt w:val="bullet"/>
      <w:lvlText w:val=""/>
      <w:lvlJc w:val="left"/>
      <w:pPr>
        <w:ind w:left="2880" w:hanging="360"/>
      </w:pPr>
      <w:rPr>
        <w:rFonts w:ascii="Symbol" w:hAnsi="Symbol" w:hint="default"/>
      </w:rPr>
    </w:lvl>
    <w:lvl w:ilvl="4" w:tplc="C4CC5896" w:tentative="1">
      <w:start w:val="1"/>
      <w:numFmt w:val="bullet"/>
      <w:lvlText w:val="o"/>
      <w:lvlJc w:val="left"/>
      <w:pPr>
        <w:ind w:left="3600" w:hanging="360"/>
      </w:pPr>
      <w:rPr>
        <w:rFonts w:ascii="Courier New" w:hAnsi="Courier New" w:cs="Courier New" w:hint="default"/>
      </w:rPr>
    </w:lvl>
    <w:lvl w:ilvl="5" w:tplc="E556936E" w:tentative="1">
      <w:start w:val="1"/>
      <w:numFmt w:val="bullet"/>
      <w:lvlText w:val=""/>
      <w:lvlJc w:val="left"/>
      <w:pPr>
        <w:ind w:left="4320" w:hanging="360"/>
      </w:pPr>
      <w:rPr>
        <w:rFonts w:ascii="Wingdings" w:hAnsi="Wingdings" w:hint="default"/>
      </w:rPr>
    </w:lvl>
    <w:lvl w:ilvl="6" w:tplc="810409AA" w:tentative="1">
      <w:start w:val="1"/>
      <w:numFmt w:val="bullet"/>
      <w:lvlText w:val=""/>
      <w:lvlJc w:val="left"/>
      <w:pPr>
        <w:ind w:left="5040" w:hanging="360"/>
      </w:pPr>
      <w:rPr>
        <w:rFonts w:ascii="Symbol" w:hAnsi="Symbol" w:hint="default"/>
      </w:rPr>
    </w:lvl>
    <w:lvl w:ilvl="7" w:tplc="3BCA227E" w:tentative="1">
      <w:start w:val="1"/>
      <w:numFmt w:val="bullet"/>
      <w:lvlText w:val="o"/>
      <w:lvlJc w:val="left"/>
      <w:pPr>
        <w:ind w:left="5760" w:hanging="360"/>
      </w:pPr>
      <w:rPr>
        <w:rFonts w:ascii="Courier New" w:hAnsi="Courier New" w:cs="Courier New" w:hint="default"/>
      </w:rPr>
    </w:lvl>
    <w:lvl w:ilvl="8" w:tplc="883AB4C8" w:tentative="1">
      <w:start w:val="1"/>
      <w:numFmt w:val="bullet"/>
      <w:lvlText w:val=""/>
      <w:lvlJc w:val="left"/>
      <w:pPr>
        <w:ind w:left="6480" w:hanging="360"/>
      </w:pPr>
      <w:rPr>
        <w:rFonts w:ascii="Wingdings" w:hAnsi="Wingdings" w:hint="default"/>
      </w:rPr>
    </w:lvl>
  </w:abstractNum>
  <w:abstractNum w:abstractNumId="20">
    <w:nsid w:val="3C4A1409"/>
    <w:multiLevelType w:val="singleLevel"/>
    <w:tmpl w:val="9DEC08D0"/>
    <w:lvl w:ilvl="0">
      <w:start w:val="1"/>
      <w:numFmt w:val="decimal"/>
      <w:pStyle w:val="FigureTitle3"/>
      <w:lvlText w:val="Figure 3-%1."/>
      <w:lvlJc w:val="left"/>
      <w:pPr>
        <w:tabs>
          <w:tab w:val="num" w:pos="1440"/>
        </w:tabs>
        <w:ind w:left="1440" w:hanging="1440"/>
      </w:pPr>
      <w:rPr>
        <w:rFonts w:ascii="Arial" w:hAnsi="Arial" w:hint="default"/>
        <w:sz w:val="24"/>
      </w:rPr>
    </w:lvl>
  </w:abstractNum>
  <w:abstractNum w:abstractNumId="21">
    <w:nsid w:val="3E9106CD"/>
    <w:multiLevelType w:val="hybridMultilevel"/>
    <w:tmpl w:val="1DDE4D54"/>
    <w:lvl w:ilvl="0" w:tplc="01FED88E">
      <w:start w:val="1"/>
      <w:numFmt w:val="decimal"/>
      <w:lvlText w:val="%1."/>
      <w:lvlJc w:val="left"/>
      <w:pPr>
        <w:ind w:left="720" w:hanging="360"/>
      </w:pPr>
    </w:lvl>
    <w:lvl w:ilvl="1" w:tplc="7782235C" w:tentative="1">
      <w:start w:val="1"/>
      <w:numFmt w:val="lowerLetter"/>
      <w:lvlText w:val="%2."/>
      <w:lvlJc w:val="left"/>
      <w:pPr>
        <w:ind w:left="1440" w:hanging="360"/>
      </w:pPr>
    </w:lvl>
    <w:lvl w:ilvl="2" w:tplc="E12E23EE" w:tentative="1">
      <w:start w:val="1"/>
      <w:numFmt w:val="lowerRoman"/>
      <w:lvlText w:val="%3."/>
      <w:lvlJc w:val="right"/>
      <w:pPr>
        <w:ind w:left="2160" w:hanging="180"/>
      </w:pPr>
    </w:lvl>
    <w:lvl w:ilvl="3" w:tplc="D81436A4" w:tentative="1">
      <w:start w:val="1"/>
      <w:numFmt w:val="decimal"/>
      <w:lvlText w:val="%4."/>
      <w:lvlJc w:val="left"/>
      <w:pPr>
        <w:ind w:left="2880" w:hanging="360"/>
      </w:pPr>
    </w:lvl>
    <w:lvl w:ilvl="4" w:tplc="A1A24472" w:tentative="1">
      <w:start w:val="1"/>
      <w:numFmt w:val="lowerLetter"/>
      <w:lvlText w:val="%5."/>
      <w:lvlJc w:val="left"/>
      <w:pPr>
        <w:ind w:left="3600" w:hanging="360"/>
      </w:pPr>
    </w:lvl>
    <w:lvl w:ilvl="5" w:tplc="262A9C4E" w:tentative="1">
      <w:start w:val="1"/>
      <w:numFmt w:val="lowerRoman"/>
      <w:lvlText w:val="%6."/>
      <w:lvlJc w:val="right"/>
      <w:pPr>
        <w:ind w:left="4320" w:hanging="180"/>
      </w:pPr>
    </w:lvl>
    <w:lvl w:ilvl="6" w:tplc="E95ADA92" w:tentative="1">
      <w:start w:val="1"/>
      <w:numFmt w:val="decimal"/>
      <w:lvlText w:val="%7."/>
      <w:lvlJc w:val="left"/>
      <w:pPr>
        <w:ind w:left="5040" w:hanging="360"/>
      </w:pPr>
    </w:lvl>
    <w:lvl w:ilvl="7" w:tplc="BA26B442" w:tentative="1">
      <w:start w:val="1"/>
      <w:numFmt w:val="lowerLetter"/>
      <w:lvlText w:val="%8."/>
      <w:lvlJc w:val="left"/>
      <w:pPr>
        <w:ind w:left="5760" w:hanging="360"/>
      </w:pPr>
    </w:lvl>
    <w:lvl w:ilvl="8" w:tplc="B9C67B98" w:tentative="1">
      <w:start w:val="1"/>
      <w:numFmt w:val="lowerRoman"/>
      <w:lvlText w:val="%9."/>
      <w:lvlJc w:val="right"/>
      <w:pPr>
        <w:ind w:left="6480" w:hanging="180"/>
      </w:pPr>
    </w:lvl>
  </w:abstractNum>
  <w:abstractNum w:abstractNumId="22">
    <w:nsid w:val="3F8C1FCA"/>
    <w:multiLevelType w:val="multilevel"/>
    <w:tmpl w:val="F7643A64"/>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rPr>
        <w:rFonts w:ascii="Arial" w:hAnsi="Arial" w:hint="default"/>
        <w:sz w:val="24"/>
      </w:r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1715"/>
        </w:tabs>
        <w:ind w:left="1715"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3">
    <w:nsid w:val="40682415"/>
    <w:multiLevelType w:val="hybridMultilevel"/>
    <w:tmpl w:val="C14ADE46"/>
    <w:lvl w:ilvl="0" w:tplc="E242C3BC">
      <w:start w:val="1"/>
      <w:numFmt w:val="lowerLetter"/>
      <w:lvlText w:val="%1)"/>
      <w:lvlJc w:val="left"/>
      <w:pPr>
        <w:ind w:left="360" w:hanging="360"/>
      </w:pPr>
    </w:lvl>
    <w:lvl w:ilvl="1" w:tplc="AAA06C28" w:tentative="1">
      <w:start w:val="1"/>
      <w:numFmt w:val="lowerLetter"/>
      <w:lvlText w:val="%2."/>
      <w:lvlJc w:val="left"/>
      <w:pPr>
        <w:ind w:left="1080" w:hanging="360"/>
      </w:pPr>
    </w:lvl>
    <w:lvl w:ilvl="2" w:tplc="BEDEC368" w:tentative="1">
      <w:start w:val="1"/>
      <w:numFmt w:val="lowerRoman"/>
      <w:lvlText w:val="%3."/>
      <w:lvlJc w:val="right"/>
      <w:pPr>
        <w:ind w:left="1800" w:hanging="180"/>
      </w:pPr>
    </w:lvl>
    <w:lvl w:ilvl="3" w:tplc="28D85894" w:tentative="1">
      <w:start w:val="1"/>
      <w:numFmt w:val="decimal"/>
      <w:lvlText w:val="%4."/>
      <w:lvlJc w:val="left"/>
      <w:pPr>
        <w:ind w:left="2520" w:hanging="360"/>
      </w:pPr>
    </w:lvl>
    <w:lvl w:ilvl="4" w:tplc="B1E08268" w:tentative="1">
      <w:start w:val="1"/>
      <w:numFmt w:val="lowerLetter"/>
      <w:lvlText w:val="%5."/>
      <w:lvlJc w:val="left"/>
      <w:pPr>
        <w:ind w:left="3240" w:hanging="360"/>
      </w:pPr>
    </w:lvl>
    <w:lvl w:ilvl="5" w:tplc="4B80C57A" w:tentative="1">
      <w:start w:val="1"/>
      <w:numFmt w:val="lowerRoman"/>
      <w:lvlText w:val="%6."/>
      <w:lvlJc w:val="right"/>
      <w:pPr>
        <w:ind w:left="3960" w:hanging="180"/>
      </w:pPr>
    </w:lvl>
    <w:lvl w:ilvl="6" w:tplc="82FEB7C8" w:tentative="1">
      <w:start w:val="1"/>
      <w:numFmt w:val="decimal"/>
      <w:lvlText w:val="%7."/>
      <w:lvlJc w:val="left"/>
      <w:pPr>
        <w:ind w:left="4680" w:hanging="360"/>
      </w:pPr>
    </w:lvl>
    <w:lvl w:ilvl="7" w:tplc="1A5A5A34" w:tentative="1">
      <w:start w:val="1"/>
      <w:numFmt w:val="lowerLetter"/>
      <w:lvlText w:val="%8."/>
      <w:lvlJc w:val="left"/>
      <w:pPr>
        <w:ind w:left="5400" w:hanging="360"/>
      </w:pPr>
    </w:lvl>
    <w:lvl w:ilvl="8" w:tplc="F57E7F82" w:tentative="1">
      <w:start w:val="1"/>
      <w:numFmt w:val="lowerRoman"/>
      <w:lvlText w:val="%9."/>
      <w:lvlJc w:val="right"/>
      <w:pPr>
        <w:ind w:left="6120" w:hanging="180"/>
      </w:pPr>
    </w:lvl>
  </w:abstractNum>
  <w:abstractNum w:abstractNumId="24">
    <w:nsid w:val="4569054A"/>
    <w:multiLevelType w:val="hybridMultilevel"/>
    <w:tmpl w:val="42AE88DE"/>
    <w:lvl w:ilvl="0" w:tplc="10090017">
      <w:start w:val="1"/>
      <w:numFmt w:val="bullet"/>
      <w:lvlText w:val=""/>
      <w:lvlJc w:val="left"/>
      <w:pPr>
        <w:ind w:left="720" w:hanging="360"/>
      </w:pPr>
      <w:rPr>
        <w:rFonts w:ascii="Symbol" w:hAnsi="Symbol" w:hint="default"/>
      </w:rPr>
    </w:lvl>
    <w:lvl w:ilvl="1" w:tplc="10090019" w:tentative="1">
      <w:start w:val="1"/>
      <w:numFmt w:val="bullet"/>
      <w:lvlText w:val="o"/>
      <w:lvlJc w:val="left"/>
      <w:pPr>
        <w:ind w:left="1440" w:hanging="360"/>
      </w:pPr>
      <w:rPr>
        <w:rFonts w:ascii="Courier New" w:hAnsi="Courier New" w:cs="Courier New" w:hint="default"/>
      </w:rPr>
    </w:lvl>
    <w:lvl w:ilvl="2" w:tplc="1009001B" w:tentative="1">
      <w:start w:val="1"/>
      <w:numFmt w:val="bullet"/>
      <w:lvlText w:val=""/>
      <w:lvlJc w:val="left"/>
      <w:pPr>
        <w:ind w:left="2160" w:hanging="360"/>
      </w:pPr>
      <w:rPr>
        <w:rFonts w:ascii="Wingdings" w:hAnsi="Wingdings" w:hint="default"/>
      </w:rPr>
    </w:lvl>
    <w:lvl w:ilvl="3" w:tplc="1009000F" w:tentative="1">
      <w:start w:val="1"/>
      <w:numFmt w:val="bullet"/>
      <w:lvlText w:val=""/>
      <w:lvlJc w:val="left"/>
      <w:pPr>
        <w:ind w:left="2880" w:hanging="360"/>
      </w:pPr>
      <w:rPr>
        <w:rFonts w:ascii="Symbol" w:hAnsi="Symbol" w:hint="default"/>
      </w:rPr>
    </w:lvl>
    <w:lvl w:ilvl="4" w:tplc="10090019" w:tentative="1">
      <w:start w:val="1"/>
      <w:numFmt w:val="bullet"/>
      <w:lvlText w:val="o"/>
      <w:lvlJc w:val="left"/>
      <w:pPr>
        <w:ind w:left="3600" w:hanging="360"/>
      </w:pPr>
      <w:rPr>
        <w:rFonts w:ascii="Courier New" w:hAnsi="Courier New" w:cs="Courier New" w:hint="default"/>
      </w:rPr>
    </w:lvl>
    <w:lvl w:ilvl="5" w:tplc="1009001B" w:tentative="1">
      <w:start w:val="1"/>
      <w:numFmt w:val="bullet"/>
      <w:lvlText w:val=""/>
      <w:lvlJc w:val="left"/>
      <w:pPr>
        <w:ind w:left="4320" w:hanging="360"/>
      </w:pPr>
      <w:rPr>
        <w:rFonts w:ascii="Wingdings" w:hAnsi="Wingdings" w:hint="default"/>
      </w:rPr>
    </w:lvl>
    <w:lvl w:ilvl="6" w:tplc="1009000F" w:tentative="1">
      <w:start w:val="1"/>
      <w:numFmt w:val="bullet"/>
      <w:lvlText w:val=""/>
      <w:lvlJc w:val="left"/>
      <w:pPr>
        <w:ind w:left="5040" w:hanging="360"/>
      </w:pPr>
      <w:rPr>
        <w:rFonts w:ascii="Symbol" w:hAnsi="Symbol" w:hint="default"/>
      </w:rPr>
    </w:lvl>
    <w:lvl w:ilvl="7" w:tplc="10090019" w:tentative="1">
      <w:start w:val="1"/>
      <w:numFmt w:val="bullet"/>
      <w:lvlText w:val="o"/>
      <w:lvlJc w:val="left"/>
      <w:pPr>
        <w:ind w:left="5760" w:hanging="360"/>
      </w:pPr>
      <w:rPr>
        <w:rFonts w:ascii="Courier New" w:hAnsi="Courier New" w:cs="Courier New" w:hint="default"/>
      </w:rPr>
    </w:lvl>
    <w:lvl w:ilvl="8" w:tplc="1009001B" w:tentative="1">
      <w:start w:val="1"/>
      <w:numFmt w:val="bullet"/>
      <w:lvlText w:val=""/>
      <w:lvlJc w:val="left"/>
      <w:pPr>
        <w:ind w:left="6480" w:hanging="360"/>
      </w:pPr>
      <w:rPr>
        <w:rFonts w:ascii="Wingdings" w:hAnsi="Wingdings" w:hint="default"/>
      </w:rPr>
    </w:lvl>
  </w:abstractNum>
  <w:abstractNum w:abstractNumId="25">
    <w:nsid w:val="4607432E"/>
    <w:multiLevelType w:val="singleLevel"/>
    <w:tmpl w:val="14CAF338"/>
    <w:lvl w:ilvl="0">
      <w:start w:val="1"/>
      <w:numFmt w:val="decimal"/>
      <w:pStyle w:val="TableTitle1"/>
      <w:lvlText w:val="Table 1-%1."/>
      <w:lvlJc w:val="left"/>
      <w:pPr>
        <w:tabs>
          <w:tab w:val="num" w:pos="1440"/>
        </w:tabs>
        <w:ind w:left="1440" w:hanging="1440"/>
      </w:pPr>
      <w:rPr>
        <w:rFonts w:ascii="Arial" w:hAnsi="Arial" w:hint="default"/>
        <w:sz w:val="24"/>
      </w:rPr>
    </w:lvl>
  </w:abstractNum>
  <w:abstractNum w:abstractNumId="26">
    <w:nsid w:val="472D46AD"/>
    <w:multiLevelType w:val="singleLevel"/>
    <w:tmpl w:val="F320B28E"/>
    <w:lvl w:ilvl="0">
      <w:start w:val="1"/>
      <w:numFmt w:val="decimal"/>
      <w:pStyle w:val="FigureTitle1"/>
      <w:lvlText w:val="Figure 1-%1."/>
      <w:lvlJc w:val="left"/>
      <w:pPr>
        <w:tabs>
          <w:tab w:val="num" w:pos="1440"/>
        </w:tabs>
        <w:ind w:left="1440" w:hanging="1440"/>
      </w:pPr>
      <w:rPr>
        <w:rFonts w:ascii="Arial" w:hAnsi="Arial" w:hint="default"/>
        <w:sz w:val="24"/>
      </w:rPr>
    </w:lvl>
  </w:abstractNum>
  <w:abstractNum w:abstractNumId="27">
    <w:nsid w:val="52DF0C82"/>
    <w:multiLevelType w:val="hybridMultilevel"/>
    <w:tmpl w:val="A9C8D346"/>
    <w:lvl w:ilvl="0" w:tplc="E1785E0C">
      <w:start w:val="1"/>
      <w:numFmt w:val="bullet"/>
      <w:lvlText w:val=""/>
      <w:lvlJc w:val="left"/>
      <w:pPr>
        <w:ind w:left="360" w:hanging="360"/>
      </w:pPr>
      <w:rPr>
        <w:rFonts w:ascii="Symbol" w:hAnsi="Symbol" w:hint="default"/>
      </w:rPr>
    </w:lvl>
    <w:lvl w:ilvl="1" w:tplc="8EEC7C0C" w:tentative="1">
      <w:start w:val="1"/>
      <w:numFmt w:val="bullet"/>
      <w:lvlText w:val="o"/>
      <w:lvlJc w:val="left"/>
      <w:pPr>
        <w:ind w:left="1080" w:hanging="360"/>
      </w:pPr>
      <w:rPr>
        <w:rFonts w:ascii="Courier New" w:hAnsi="Courier New" w:cs="Courier New" w:hint="default"/>
      </w:rPr>
    </w:lvl>
    <w:lvl w:ilvl="2" w:tplc="4E823910" w:tentative="1">
      <w:start w:val="1"/>
      <w:numFmt w:val="bullet"/>
      <w:lvlText w:val=""/>
      <w:lvlJc w:val="left"/>
      <w:pPr>
        <w:ind w:left="1800" w:hanging="360"/>
      </w:pPr>
      <w:rPr>
        <w:rFonts w:ascii="Wingdings" w:hAnsi="Wingdings" w:hint="default"/>
      </w:rPr>
    </w:lvl>
    <w:lvl w:ilvl="3" w:tplc="A044D4CA" w:tentative="1">
      <w:start w:val="1"/>
      <w:numFmt w:val="bullet"/>
      <w:lvlText w:val=""/>
      <w:lvlJc w:val="left"/>
      <w:pPr>
        <w:ind w:left="2520" w:hanging="360"/>
      </w:pPr>
      <w:rPr>
        <w:rFonts w:ascii="Symbol" w:hAnsi="Symbol" w:hint="default"/>
      </w:rPr>
    </w:lvl>
    <w:lvl w:ilvl="4" w:tplc="C65EC11C" w:tentative="1">
      <w:start w:val="1"/>
      <w:numFmt w:val="bullet"/>
      <w:lvlText w:val="o"/>
      <w:lvlJc w:val="left"/>
      <w:pPr>
        <w:ind w:left="3240" w:hanging="360"/>
      </w:pPr>
      <w:rPr>
        <w:rFonts w:ascii="Courier New" w:hAnsi="Courier New" w:cs="Courier New" w:hint="default"/>
      </w:rPr>
    </w:lvl>
    <w:lvl w:ilvl="5" w:tplc="EEA4B1B4" w:tentative="1">
      <w:start w:val="1"/>
      <w:numFmt w:val="bullet"/>
      <w:lvlText w:val=""/>
      <w:lvlJc w:val="left"/>
      <w:pPr>
        <w:ind w:left="3960" w:hanging="360"/>
      </w:pPr>
      <w:rPr>
        <w:rFonts w:ascii="Wingdings" w:hAnsi="Wingdings" w:hint="default"/>
      </w:rPr>
    </w:lvl>
    <w:lvl w:ilvl="6" w:tplc="CCF67E38" w:tentative="1">
      <w:start w:val="1"/>
      <w:numFmt w:val="bullet"/>
      <w:lvlText w:val=""/>
      <w:lvlJc w:val="left"/>
      <w:pPr>
        <w:ind w:left="4680" w:hanging="360"/>
      </w:pPr>
      <w:rPr>
        <w:rFonts w:ascii="Symbol" w:hAnsi="Symbol" w:hint="default"/>
      </w:rPr>
    </w:lvl>
    <w:lvl w:ilvl="7" w:tplc="B406E5EA" w:tentative="1">
      <w:start w:val="1"/>
      <w:numFmt w:val="bullet"/>
      <w:lvlText w:val="o"/>
      <w:lvlJc w:val="left"/>
      <w:pPr>
        <w:ind w:left="5400" w:hanging="360"/>
      </w:pPr>
      <w:rPr>
        <w:rFonts w:ascii="Courier New" w:hAnsi="Courier New" w:cs="Courier New" w:hint="default"/>
      </w:rPr>
    </w:lvl>
    <w:lvl w:ilvl="8" w:tplc="E1DE8EDE" w:tentative="1">
      <w:start w:val="1"/>
      <w:numFmt w:val="bullet"/>
      <w:lvlText w:val=""/>
      <w:lvlJc w:val="left"/>
      <w:pPr>
        <w:ind w:left="6120" w:hanging="360"/>
      </w:pPr>
      <w:rPr>
        <w:rFonts w:ascii="Wingdings" w:hAnsi="Wingdings" w:hint="default"/>
      </w:rPr>
    </w:lvl>
  </w:abstractNum>
  <w:abstractNum w:abstractNumId="28">
    <w:nsid w:val="552F28EB"/>
    <w:multiLevelType w:val="hybridMultilevel"/>
    <w:tmpl w:val="26EA2E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nsid w:val="5CEB7F44"/>
    <w:multiLevelType w:val="hybridMultilevel"/>
    <w:tmpl w:val="2F321DCC"/>
    <w:lvl w:ilvl="0" w:tplc="10090001">
      <w:start w:val="1"/>
      <w:numFmt w:val="bullet"/>
      <w:pStyle w:val="TableTitle5-tabletext-bullets"/>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nsid w:val="5DD61676"/>
    <w:multiLevelType w:val="hybridMultilevel"/>
    <w:tmpl w:val="69D2FD2A"/>
    <w:lvl w:ilvl="0" w:tplc="52B8B762">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nsid w:val="5FD07EC1"/>
    <w:multiLevelType w:val="singleLevel"/>
    <w:tmpl w:val="A7201F64"/>
    <w:lvl w:ilvl="0">
      <w:start w:val="1"/>
      <w:numFmt w:val="decimal"/>
      <w:pStyle w:val="FigureTitle2"/>
      <w:lvlText w:val="Figure 2-%1."/>
      <w:lvlJc w:val="left"/>
      <w:pPr>
        <w:tabs>
          <w:tab w:val="num" w:pos="1440"/>
        </w:tabs>
        <w:ind w:left="1440" w:hanging="1440"/>
      </w:pPr>
      <w:rPr>
        <w:rFonts w:ascii="Arial" w:hAnsi="Arial" w:hint="default"/>
        <w:sz w:val="24"/>
      </w:rPr>
    </w:lvl>
  </w:abstractNum>
  <w:abstractNum w:abstractNumId="32">
    <w:nsid w:val="607B16C2"/>
    <w:multiLevelType w:val="hybridMultilevel"/>
    <w:tmpl w:val="959C2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9286DDE"/>
    <w:multiLevelType w:val="hybridMultilevel"/>
    <w:tmpl w:val="4166307A"/>
    <w:lvl w:ilvl="0" w:tplc="FDC646BA">
      <w:start w:val="1"/>
      <w:numFmt w:val="bullet"/>
      <w:lvlText w:val=""/>
      <w:lvlJc w:val="left"/>
      <w:pPr>
        <w:ind w:left="720" w:hanging="360"/>
      </w:pPr>
      <w:rPr>
        <w:rFonts w:ascii="Symbol" w:hAnsi="Symbol" w:hint="default"/>
      </w:rPr>
    </w:lvl>
    <w:lvl w:ilvl="1" w:tplc="CE9CCC2A" w:tentative="1">
      <w:start w:val="1"/>
      <w:numFmt w:val="bullet"/>
      <w:lvlText w:val="o"/>
      <w:lvlJc w:val="left"/>
      <w:pPr>
        <w:ind w:left="1440" w:hanging="360"/>
      </w:pPr>
      <w:rPr>
        <w:rFonts w:ascii="Courier New" w:hAnsi="Courier New" w:cs="Courier New" w:hint="default"/>
      </w:rPr>
    </w:lvl>
    <w:lvl w:ilvl="2" w:tplc="FAF05DA4" w:tentative="1">
      <w:start w:val="1"/>
      <w:numFmt w:val="bullet"/>
      <w:lvlText w:val=""/>
      <w:lvlJc w:val="left"/>
      <w:pPr>
        <w:ind w:left="2160" w:hanging="360"/>
      </w:pPr>
      <w:rPr>
        <w:rFonts w:ascii="Wingdings" w:hAnsi="Wingdings" w:hint="default"/>
      </w:rPr>
    </w:lvl>
    <w:lvl w:ilvl="3" w:tplc="CDA00E36" w:tentative="1">
      <w:start w:val="1"/>
      <w:numFmt w:val="bullet"/>
      <w:lvlText w:val=""/>
      <w:lvlJc w:val="left"/>
      <w:pPr>
        <w:ind w:left="2880" w:hanging="360"/>
      </w:pPr>
      <w:rPr>
        <w:rFonts w:ascii="Symbol" w:hAnsi="Symbol" w:hint="default"/>
      </w:rPr>
    </w:lvl>
    <w:lvl w:ilvl="4" w:tplc="99EA19BA" w:tentative="1">
      <w:start w:val="1"/>
      <w:numFmt w:val="bullet"/>
      <w:lvlText w:val="o"/>
      <w:lvlJc w:val="left"/>
      <w:pPr>
        <w:ind w:left="3600" w:hanging="360"/>
      </w:pPr>
      <w:rPr>
        <w:rFonts w:ascii="Courier New" w:hAnsi="Courier New" w:cs="Courier New" w:hint="default"/>
      </w:rPr>
    </w:lvl>
    <w:lvl w:ilvl="5" w:tplc="63FE78B2" w:tentative="1">
      <w:start w:val="1"/>
      <w:numFmt w:val="bullet"/>
      <w:lvlText w:val=""/>
      <w:lvlJc w:val="left"/>
      <w:pPr>
        <w:ind w:left="4320" w:hanging="360"/>
      </w:pPr>
      <w:rPr>
        <w:rFonts w:ascii="Wingdings" w:hAnsi="Wingdings" w:hint="default"/>
      </w:rPr>
    </w:lvl>
    <w:lvl w:ilvl="6" w:tplc="D30ABE20" w:tentative="1">
      <w:start w:val="1"/>
      <w:numFmt w:val="bullet"/>
      <w:lvlText w:val=""/>
      <w:lvlJc w:val="left"/>
      <w:pPr>
        <w:ind w:left="5040" w:hanging="360"/>
      </w:pPr>
      <w:rPr>
        <w:rFonts w:ascii="Symbol" w:hAnsi="Symbol" w:hint="default"/>
      </w:rPr>
    </w:lvl>
    <w:lvl w:ilvl="7" w:tplc="865E6438" w:tentative="1">
      <w:start w:val="1"/>
      <w:numFmt w:val="bullet"/>
      <w:lvlText w:val="o"/>
      <w:lvlJc w:val="left"/>
      <w:pPr>
        <w:ind w:left="5760" w:hanging="360"/>
      </w:pPr>
      <w:rPr>
        <w:rFonts w:ascii="Courier New" w:hAnsi="Courier New" w:cs="Courier New" w:hint="default"/>
      </w:rPr>
    </w:lvl>
    <w:lvl w:ilvl="8" w:tplc="2F4496E4" w:tentative="1">
      <w:start w:val="1"/>
      <w:numFmt w:val="bullet"/>
      <w:lvlText w:val=""/>
      <w:lvlJc w:val="left"/>
      <w:pPr>
        <w:ind w:left="6480" w:hanging="360"/>
      </w:pPr>
      <w:rPr>
        <w:rFonts w:ascii="Wingdings" w:hAnsi="Wingdings" w:hint="default"/>
      </w:rPr>
    </w:lvl>
  </w:abstractNum>
  <w:abstractNum w:abstractNumId="34">
    <w:nsid w:val="76822AF9"/>
    <w:multiLevelType w:val="singleLevel"/>
    <w:tmpl w:val="172438DE"/>
    <w:lvl w:ilvl="0">
      <w:start w:val="1"/>
      <w:numFmt w:val="decimal"/>
      <w:pStyle w:val="TableTitle4"/>
      <w:lvlText w:val="Table 4-%1."/>
      <w:lvlJc w:val="left"/>
      <w:pPr>
        <w:tabs>
          <w:tab w:val="num" w:pos="1440"/>
        </w:tabs>
        <w:ind w:left="1440" w:hanging="1440"/>
      </w:pPr>
      <w:rPr>
        <w:rFonts w:ascii="Arial" w:hAnsi="Arial" w:hint="default"/>
        <w:sz w:val="24"/>
      </w:rPr>
    </w:lvl>
  </w:abstractNum>
  <w:abstractNum w:abstractNumId="35">
    <w:nsid w:val="7C9775F3"/>
    <w:multiLevelType w:val="singleLevel"/>
    <w:tmpl w:val="6DA262E0"/>
    <w:lvl w:ilvl="0">
      <w:start w:val="1"/>
      <w:numFmt w:val="decimal"/>
      <w:pStyle w:val="TableTitle"/>
      <w:lvlText w:val="Table %1."/>
      <w:lvlJc w:val="left"/>
      <w:pPr>
        <w:tabs>
          <w:tab w:val="num" w:pos="1080"/>
        </w:tabs>
        <w:ind w:left="1080" w:hanging="1080"/>
      </w:pPr>
      <w:rPr>
        <w:rFonts w:ascii="Times New Roman" w:hAnsi="Times New Roman" w:cs="Times New Roman" w:hint="default"/>
        <w:sz w:val="18"/>
        <w:szCs w:val="18"/>
      </w:rPr>
    </w:lvl>
  </w:abstractNum>
  <w:abstractNum w:abstractNumId="36">
    <w:nsid w:val="7CF23120"/>
    <w:multiLevelType w:val="hybridMultilevel"/>
    <w:tmpl w:val="8F16DDF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2"/>
  </w:num>
  <w:num w:numId="2">
    <w:abstractNumId w:val="1"/>
  </w:num>
  <w:num w:numId="3">
    <w:abstractNumId w:val="26"/>
  </w:num>
  <w:num w:numId="4">
    <w:abstractNumId w:val="0"/>
  </w:num>
  <w:num w:numId="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8"/>
  </w:num>
  <w:num w:numId="7">
    <w:abstractNumId w:val="35"/>
  </w:num>
  <w:num w:numId="8">
    <w:abstractNumId w:val="7"/>
  </w:num>
  <w:num w:numId="9">
    <w:abstractNumId w:val="31"/>
  </w:num>
  <w:num w:numId="10">
    <w:abstractNumId w:val="20"/>
  </w:num>
  <w:num w:numId="11">
    <w:abstractNumId w:val="15"/>
  </w:num>
  <w:num w:numId="12">
    <w:abstractNumId w:val="5"/>
  </w:num>
  <w:num w:numId="13">
    <w:abstractNumId w:val="34"/>
  </w:num>
  <w:num w:numId="14">
    <w:abstractNumId w:val="25"/>
  </w:num>
  <w:num w:numId="15">
    <w:abstractNumId w:val="29"/>
  </w:num>
  <w:num w:numId="16">
    <w:abstractNumId w:val="14"/>
  </w:num>
  <w:num w:numId="17">
    <w:abstractNumId w:val="33"/>
  </w:num>
  <w:num w:numId="18">
    <w:abstractNumId w:val="2"/>
  </w:num>
  <w:num w:numId="19">
    <w:abstractNumId w:val="16"/>
  </w:num>
  <w:num w:numId="20">
    <w:abstractNumId w:val="19"/>
  </w:num>
  <w:num w:numId="21">
    <w:abstractNumId w:val="10"/>
  </w:num>
  <w:num w:numId="22">
    <w:abstractNumId w:val="30"/>
  </w:num>
  <w:num w:numId="23">
    <w:abstractNumId w:val="28"/>
  </w:num>
  <w:num w:numId="24">
    <w:abstractNumId w:val="27"/>
  </w:num>
  <w:num w:numId="25">
    <w:abstractNumId w:val="17"/>
  </w:num>
  <w:num w:numId="26">
    <w:abstractNumId w:val="23"/>
  </w:num>
  <w:num w:numId="27">
    <w:abstractNumId w:val="12"/>
  </w:num>
  <w:num w:numId="28">
    <w:abstractNumId w:val="9"/>
  </w:num>
  <w:num w:numId="29">
    <w:abstractNumId w:val="6"/>
  </w:num>
  <w:num w:numId="30">
    <w:abstractNumId w:val="13"/>
  </w:num>
  <w:num w:numId="31">
    <w:abstractNumId w:val="21"/>
  </w:num>
  <w:num w:numId="32">
    <w:abstractNumId w:val="11"/>
  </w:num>
  <w:num w:numId="33">
    <w:abstractNumId w:val="24"/>
  </w:num>
  <w:num w:numId="34">
    <w:abstractNumId w:val="4"/>
  </w:num>
  <w:num w:numId="35">
    <w:abstractNumId w:val="3"/>
  </w:num>
  <w:num w:numId="36">
    <w:abstractNumId w:val="8"/>
  </w:num>
  <w:num w:numId="37">
    <w:abstractNumId w:val="36"/>
  </w:num>
  <w:num w:numId="38">
    <w:abstractNumId w:val="32"/>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mirrorMargins/>
  <w:proofState w:spelling="clean" w:grammar="clean"/>
  <w:defaultTabStop w:val="720"/>
  <w:evenAndOddHeaders/>
  <w:drawingGridHorizontalSpacing w:val="120"/>
  <w:displayHorizontalDrawingGridEvery w:val="2"/>
  <w:characterSpacingControl w:val="doNotCompress"/>
  <w:hdrShapeDefaults>
    <o:shapedefaults v:ext="edit" spidmax="59393"/>
  </w:hdrShapeDefaults>
  <w:footnotePr>
    <w:footnote w:id="-1"/>
    <w:footnote w:id="0"/>
  </w:footnotePr>
  <w:endnotePr>
    <w:endnote w:id="-1"/>
    <w:endnote w:id="0"/>
  </w:endnotePr>
  <w:compat/>
  <w:rsids>
    <w:rsidRoot w:val="006469D5"/>
    <w:rsid w:val="00003C84"/>
    <w:rsid w:val="00007132"/>
    <w:rsid w:val="00011F1E"/>
    <w:rsid w:val="00012E29"/>
    <w:rsid w:val="00016856"/>
    <w:rsid w:val="00020D2A"/>
    <w:rsid w:val="00021033"/>
    <w:rsid w:val="000279D2"/>
    <w:rsid w:val="00030E16"/>
    <w:rsid w:val="00031FB9"/>
    <w:rsid w:val="0003237B"/>
    <w:rsid w:val="000326A0"/>
    <w:rsid w:val="0003272B"/>
    <w:rsid w:val="00034196"/>
    <w:rsid w:val="00034E9D"/>
    <w:rsid w:val="0003532D"/>
    <w:rsid w:val="00040AAF"/>
    <w:rsid w:val="000429B8"/>
    <w:rsid w:val="000472D6"/>
    <w:rsid w:val="00050F5F"/>
    <w:rsid w:val="00052533"/>
    <w:rsid w:val="000549D6"/>
    <w:rsid w:val="00054F08"/>
    <w:rsid w:val="00056699"/>
    <w:rsid w:val="00060C5B"/>
    <w:rsid w:val="00060E16"/>
    <w:rsid w:val="0006293B"/>
    <w:rsid w:val="00063E21"/>
    <w:rsid w:val="00064876"/>
    <w:rsid w:val="00066298"/>
    <w:rsid w:val="00066852"/>
    <w:rsid w:val="00077A00"/>
    <w:rsid w:val="000857E3"/>
    <w:rsid w:val="000A09C6"/>
    <w:rsid w:val="000A224E"/>
    <w:rsid w:val="000A2582"/>
    <w:rsid w:val="000A2C5A"/>
    <w:rsid w:val="000B275D"/>
    <w:rsid w:val="000B349A"/>
    <w:rsid w:val="000B5014"/>
    <w:rsid w:val="000B5333"/>
    <w:rsid w:val="000C22BD"/>
    <w:rsid w:val="000C405F"/>
    <w:rsid w:val="000C47B7"/>
    <w:rsid w:val="000C6030"/>
    <w:rsid w:val="000C713C"/>
    <w:rsid w:val="000C7E53"/>
    <w:rsid w:val="000D0B0C"/>
    <w:rsid w:val="000D2777"/>
    <w:rsid w:val="000D45D0"/>
    <w:rsid w:val="000D6CF7"/>
    <w:rsid w:val="000E3E04"/>
    <w:rsid w:val="000E4A19"/>
    <w:rsid w:val="000E7642"/>
    <w:rsid w:val="000F1DE1"/>
    <w:rsid w:val="000F3D47"/>
    <w:rsid w:val="000F5184"/>
    <w:rsid w:val="000F5BFB"/>
    <w:rsid w:val="000F68E6"/>
    <w:rsid w:val="000F6940"/>
    <w:rsid w:val="001003B2"/>
    <w:rsid w:val="001009B5"/>
    <w:rsid w:val="001020B0"/>
    <w:rsid w:val="00112179"/>
    <w:rsid w:val="00113848"/>
    <w:rsid w:val="00126881"/>
    <w:rsid w:val="0013445C"/>
    <w:rsid w:val="00135FD3"/>
    <w:rsid w:val="001375E1"/>
    <w:rsid w:val="001419AF"/>
    <w:rsid w:val="00142A69"/>
    <w:rsid w:val="00144E29"/>
    <w:rsid w:val="00146504"/>
    <w:rsid w:val="00147675"/>
    <w:rsid w:val="00147E9F"/>
    <w:rsid w:val="00150D18"/>
    <w:rsid w:val="00150DBA"/>
    <w:rsid w:val="001528D8"/>
    <w:rsid w:val="001544A6"/>
    <w:rsid w:val="00154873"/>
    <w:rsid w:val="00154939"/>
    <w:rsid w:val="00155393"/>
    <w:rsid w:val="0015629B"/>
    <w:rsid w:val="00157809"/>
    <w:rsid w:val="00161ED4"/>
    <w:rsid w:val="00162716"/>
    <w:rsid w:val="001677F1"/>
    <w:rsid w:val="00171054"/>
    <w:rsid w:val="001711A8"/>
    <w:rsid w:val="0017122E"/>
    <w:rsid w:val="001712FB"/>
    <w:rsid w:val="00175136"/>
    <w:rsid w:val="0018147F"/>
    <w:rsid w:val="0018554F"/>
    <w:rsid w:val="00186A7A"/>
    <w:rsid w:val="00191476"/>
    <w:rsid w:val="0019172E"/>
    <w:rsid w:val="00194C0B"/>
    <w:rsid w:val="001A35AF"/>
    <w:rsid w:val="001A4246"/>
    <w:rsid w:val="001A6901"/>
    <w:rsid w:val="001A780C"/>
    <w:rsid w:val="001B089A"/>
    <w:rsid w:val="001B335D"/>
    <w:rsid w:val="001B5CFA"/>
    <w:rsid w:val="001B64B4"/>
    <w:rsid w:val="001C0835"/>
    <w:rsid w:val="001C137C"/>
    <w:rsid w:val="001C14BD"/>
    <w:rsid w:val="001C65C3"/>
    <w:rsid w:val="001D1041"/>
    <w:rsid w:val="001D184F"/>
    <w:rsid w:val="001D676F"/>
    <w:rsid w:val="001D7218"/>
    <w:rsid w:val="001E0842"/>
    <w:rsid w:val="001E2226"/>
    <w:rsid w:val="001E61CE"/>
    <w:rsid w:val="001E6C7F"/>
    <w:rsid w:val="001F1140"/>
    <w:rsid w:val="001F1E00"/>
    <w:rsid w:val="001F3451"/>
    <w:rsid w:val="001F4FB8"/>
    <w:rsid w:val="001F5BC0"/>
    <w:rsid w:val="001F7033"/>
    <w:rsid w:val="00200DAF"/>
    <w:rsid w:val="002024BA"/>
    <w:rsid w:val="0020274A"/>
    <w:rsid w:val="00202A19"/>
    <w:rsid w:val="002043A1"/>
    <w:rsid w:val="00211737"/>
    <w:rsid w:val="002122A8"/>
    <w:rsid w:val="002158ED"/>
    <w:rsid w:val="00220C12"/>
    <w:rsid w:val="002225C9"/>
    <w:rsid w:val="0022279F"/>
    <w:rsid w:val="002241B4"/>
    <w:rsid w:val="00227885"/>
    <w:rsid w:val="002461E1"/>
    <w:rsid w:val="00246982"/>
    <w:rsid w:val="002520E1"/>
    <w:rsid w:val="002575A2"/>
    <w:rsid w:val="0025769E"/>
    <w:rsid w:val="002579CC"/>
    <w:rsid w:val="00261DBD"/>
    <w:rsid w:val="002644C7"/>
    <w:rsid w:val="002658E0"/>
    <w:rsid w:val="00271E42"/>
    <w:rsid w:val="002725A4"/>
    <w:rsid w:val="00273D15"/>
    <w:rsid w:val="0027702F"/>
    <w:rsid w:val="00280A4D"/>
    <w:rsid w:val="00280E0C"/>
    <w:rsid w:val="00280E57"/>
    <w:rsid w:val="002814E7"/>
    <w:rsid w:val="0028244E"/>
    <w:rsid w:val="002829DD"/>
    <w:rsid w:val="00286FA8"/>
    <w:rsid w:val="002877C3"/>
    <w:rsid w:val="00292B34"/>
    <w:rsid w:val="002953CB"/>
    <w:rsid w:val="00297A6E"/>
    <w:rsid w:val="002A0D43"/>
    <w:rsid w:val="002A3DEF"/>
    <w:rsid w:val="002A4D1C"/>
    <w:rsid w:val="002B1E7A"/>
    <w:rsid w:val="002B4C72"/>
    <w:rsid w:val="002B6242"/>
    <w:rsid w:val="002C3FD3"/>
    <w:rsid w:val="002C787A"/>
    <w:rsid w:val="002D578A"/>
    <w:rsid w:val="002D60FA"/>
    <w:rsid w:val="002E01A8"/>
    <w:rsid w:val="002E1D04"/>
    <w:rsid w:val="002E2BF7"/>
    <w:rsid w:val="002E5FD1"/>
    <w:rsid w:val="002E7F6C"/>
    <w:rsid w:val="002F1F62"/>
    <w:rsid w:val="002F4BF0"/>
    <w:rsid w:val="002F5B74"/>
    <w:rsid w:val="003023FE"/>
    <w:rsid w:val="00302FC5"/>
    <w:rsid w:val="003033B4"/>
    <w:rsid w:val="003119E9"/>
    <w:rsid w:val="003151A9"/>
    <w:rsid w:val="0031708F"/>
    <w:rsid w:val="00320B17"/>
    <w:rsid w:val="00321E91"/>
    <w:rsid w:val="003241D2"/>
    <w:rsid w:val="00332957"/>
    <w:rsid w:val="003331CE"/>
    <w:rsid w:val="00333CC0"/>
    <w:rsid w:val="00335EFA"/>
    <w:rsid w:val="00342F0B"/>
    <w:rsid w:val="00343212"/>
    <w:rsid w:val="00343D0F"/>
    <w:rsid w:val="0034470F"/>
    <w:rsid w:val="00344719"/>
    <w:rsid w:val="003455DA"/>
    <w:rsid w:val="0035000F"/>
    <w:rsid w:val="003514EE"/>
    <w:rsid w:val="003569CD"/>
    <w:rsid w:val="00360AB1"/>
    <w:rsid w:val="00360B31"/>
    <w:rsid w:val="003648B8"/>
    <w:rsid w:val="00364E51"/>
    <w:rsid w:val="003668B8"/>
    <w:rsid w:val="00366D8C"/>
    <w:rsid w:val="003702B4"/>
    <w:rsid w:val="00371171"/>
    <w:rsid w:val="003735A6"/>
    <w:rsid w:val="0037379A"/>
    <w:rsid w:val="003750D7"/>
    <w:rsid w:val="003754CD"/>
    <w:rsid w:val="00375671"/>
    <w:rsid w:val="003759E0"/>
    <w:rsid w:val="0037633D"/>
    <w:rsid w:val="00377C4B"/>
    <w:rsid w:val="0038021C"/>
    <w:rsid w:val="00384098"/>
    <w:rsid w:val="0038778A"/>
    <w:rsid w:val="0039374A"/>
    <w:rsid w:val="00395D39"/>
    <w:rsid w:val="003A3BE2"/>
    <w:rsid w:val="003B08C0"/>
    <w:rsid w:val="003B2982"/>
    <w:rsid w:val="003B5B4D"/>
    <w:rsid w:val="003B6796"/>
    <w:rsid w:val="003B6C2A"/>
    <w:rsid w:val="003C21B8"/>
    <w:rsid w:val="003C25F1"/>
    <w:rsid w:val="003C6F6E"/>
    <w:rsid w:val="003C714D"/>
    <w:rsid w:val="003D4DCB"/>
    <w:rsid w:val="003E12AB"/>
    <w:rsid w:val="003E1741"/>
    <w:rsid w:val="003E79CE"/>
    <w:rsid w:val="003F00A9"/>
    <w:rsid w:val="003F07A0"/>
    <w:rsid w:val="003F0E90"/>
    <w:rsid w:val="003F217E"/>
    <w:rsid w:val="003F3386"/>
    <w:rsid w:val="003F47AF"/>
    <w:rsid w:val="003F7CCD"/>
    <w:rsid w:val="00400FDE"/>
    <w:rsid w:val="0040117F"/>
    <w:rsid w:val="004014B2"/>
    <w:rsid w:val="00402944"/>
    <w:rsid w:val="00402952"/>
    <w:rsid w:val="00403668"/>
    <w:rsid w:val="0040595E"/>
    <w:rsid w:val="00406499"/>
    <w:rsid w:val="0041081D"/>
    <w:rsid w:val="00416CD0"/>
    <w:rsid w:val="00417CA8"/>
    <w:rsid w:val="00423ADE"/>
    <w:rsid w:val="004264F6"/>
    <w:rsid w:val="00427069"/>
    <w:rsid w:val="00427663"/>
    <w:rsid w:val="0043126D"/>
    <w:rsid w:val="00433890"/>
    <w:rsid w:val="00434E63"/>
    <w:rsid w:val="004360E1"/>
    <w:rsid w:val="004367D2"/>
    <w:rsid w:val="00436E3E"/>
    <w:rsid w:val="00436E3F"/>
    <w:rsid w:val="00440067"/>
    <w:rsid w:val="00440195"/>
    <w:rsid w:val="0044101A"/>
    <w:rsid w:val="00441747"/>
    <w:rsid w:val="004427C0"/>
    <w:rsid w:val="00450103"/>
    <w:rsid w:val="00450463"/>
    <w:rsid w:val="00453CC8"/>
    <w:rsid w:val="0045422A"/>
    <w:rsid w:val="00454B5F"/>
    <w:rsid w:val="0046343B"/>
    <w:rsid w:val="004649CF"/>
    <w:rsid w:val="00464D48"/>
    <w:rsid w:val="0046640A"/>
    <w:rsid w:val="004677B7"/>
    <w:rsid w:val="00473695"/>
    <w:rsid w:val="0047403C"/>
    <w:rsid w:val="0047493B"/>
    <w:rsid w:val="00482008"/>
    <w:rsid w:val="00482BAB"/>
    <w:rsid w:val="00483AF2"/>
    <w:rsid w:val="004873CC"/>
    <w:rsid w:val="0048787F"/>
    <w:rsid w:val="00491BFE"/>
    <w:rsid w:val="00492459"/>
    <w:rsid w:val="00492545"/>
    <w:rsid w:val="00494EA4"/>
    <w:rsid w:val="00495978"/>
    <w:rsid w:val="004A055C"/>
    <w:rsid w:val="004A477C"/>
    <w:rsid w:val="004A58F1"/>
    <w:rsid w:val="004A5CE3"/>
    <w:rsid w:val="004A6B57"/>
    <w:rsid w:val="004A6EA6"/>
    <w:rsid w:val="004C0708"/>
    <w:rsid w:val="004C07F8"/>
    <w:rsid w:val="004C0A97"/>
    <w:rsid w:val="004C0F5D"/>
    <w:rsid w:val="004C1F06"/>
    <w:rsid w:val="004C2578"/>
    <w:rsid w:val="004C2EE2"/>
    <w:rsid w:val="004C39DC"/>
    <w:rsid w:val="004C53F9"/>
    <w:rsid w:val="004D2239"/>
    <w:rsid w:val="004D297C"/>
    <w:rsid w:val="004D3A34"/>
    <w:rsid w:val="004D6FCF"/>
    <w:rsid w:val="004E0299"/>
    <w:rsid w:val="004E12D1"/>
    <w:rsid w:val="004E31FB"/>
    <w:rsid w:val="004E377B"/>
    <w:rsid w:val="004E4306"/>
    <w:rsid w:val="004F13DB"/>
    <w:rsid w:val="004F32E9"/>
    <w:rsid w:val="004F351A"/>
    <w:rsid w:val="004F4D9C"/>
    <w:rsid w:val="004F5414"/>
    <w:rsid w:val="004F69B2"/>
    <w:rsid w:val="00504D4A"/>
    <w:rsid w:val="00504EF1"/>
    <w:rsid w:val="0050642D"/>
    <w:rsid w:val="00511E74"/>
    <w:rsid w:val="00517C81"/>
    <w:rsid w:val="00527D83"/>
    <w:rsid w:val="005330BC"/>
    <w:rsid w:val="0053340D"/>
    <w:rsid w:val="0053362A"/>
    <w:rsid w:val="00536CE2"/>
    <w:rsid w:val="005376C4"/>
    <w:rsid w:val="0054142A"/>
    <w:rsid w:val="005434FE"/>
    <w:rsid w:val="00551A0F"/>
    <w:rsid w:val="00554681"/>
    <w:rsid w:val="005558A7"/>
    <w:rsid w:val="00555E93"/>
    <w:rsid w:val="00556297"/>
    <w:rsid w:val="00560D4F"/>
    <w:rsid w:val="00563EA4"/>
    <w:rsid w:val="00567BE6"/>
    <w:rsid w:val="00570607"/>
    <w:rsid w:val="005717D2"/>
    <w:rsid w:val="0057286C"/>
    <w:rsid w:val="00573A02"/>
    <w:rsid w:val="00573DAB"/>
    <w:rsid w:val="00575CA7"/>
    <w:rsid w:val="005845C4"/>
    <w:rsid w:val="00585FAA"/>
    <w:rsid w:val="00593AAE"/>
    <w:rsid w:val="005945FB"/>
    <w:rsid w:val="00594D07"/>
    <w:rsid w:val="005966C5"/>
    <w:rsid w:val="00596CC2"/>
    <w:rsid w:val="005B03FA"/>
    <w:rsid w:val="005B0617"/>
    <w:rsid w:val="005B1504"/>
    <w:rsid w:val="005B1655"/>
    <w:rsid w:val="005B3EA9"/>
    <w:rsid w:val="005B61FA"/>
    <w:rsid w:val="005C31E5"/>
    <w:rsid w:val="005C3999"/>
    <w:rsid w:val="005C4CCF"/>
    <w:rsid w:val="005C6B34"/>
    <w:rsid w:val="005D33B1"/>
    <w:rsid w:val="005D3CA3"/>
    <w:rsid w:val="005E23F2"/>
    <w:rsid w:val="005E2BCB"/>
    <w:rsid w:val="005E5D96"/>
    <w:rsid w:val="005F1632"/>
    <w:rsid w:val="005F46D6"/>
    <w:rsid w:val="005F50D5"/>
    <w:rsid w:val="005F71B8"/>
    <w:rsid w:val="00602D2D"/>
    <w:rsid w:val="006103E0"/>
    <w:rsid w:val="006123F6"/>
    <w:rsid w:val="006127FA"/>
    <w:rsid w:val="00614BBE"/>
    <w:rsid w:val="00616927"/>
    <w:rsid w:val="00616BE8"/>
    <w:rsid w:val="00624932"/>
    <w:rsid w:val="0062766E"/>
    <w:rsid w:val="006304E2"/>
    <w:rsid w:val="006322A2"/>
    <w:rsid w:val="0063363B"/>
    <w:rsid w:val="006401D8"/>
    <w:rsid w:val="00640475"/>
    <w:rsid w:val="00640682"/>
    <w:rsid w:val="00640BF7"/>
    <w:rsid w:val="006469D5"/>
    <w:rsid w:val="00647180"/>
    <w:rsid w:val="00650364"/>
    <w:rsid w:val="00654A7E"/>
    <w:rsid w:val="00655136"/>
    <w:rsid w:val="00655DC8"/>
    <w:rsid w:val="00656ED1"/>
    <w:rsid w:val="00660027"/>
    <w:rsid w:val="0066071E"/>
    <w:rsid w:val="00660B36"/>
    <w:rsid w:val="00660C12"/>
    <w:rsid w:val="006642F7"/>
    <w:rsid w:val="00666501"/>
    <w:rsid w:val="00670030"/>
    <w:rsid w:val="00671368"/>
    <w:rsid w:val="00671919"/>
    <w:rsid w:val="006724C1"/>
    <w:rsid w:val="00673570"/>
    <w:rsid w:val="00673E0B"/>
    <w:rsid w:val="0068131E"/>
    <w:rsid w:val="0068145C"/>
    <w:rsid w:val="00681E52"/>
    <w:rsid w:val="00682470"/>
    <w:rsid w:val="00686C0E"/>
    <w:rsid w:val="00691DA4"/>
    <w:rsid w:val="00694277"/>
    <w:rsid w:val="00694FB4"/>
    <w:rsid w:val="006959DD"/>
    <w:rsid w:val="00697BFA"/>
    <w:rsid w:val="006A231C"/>
    <w:rsid w:val="006A47F4"/>
    <w:rsid w:val="006A5344"/>
    <w:rsid w:val="006A5403"/>
    <w:rsid w:val="006A5F58"/>
    <w:rsid w:val="006B10F6"/>
    <w:rsid w:val="006B2491"/>
    <w:rsid w:val="006B5214"/>
    <w:rsid w:val="006B5851"/>
    <w:rsid w:val="006B6994"/>
    <w:rsid w:val="006B7B00"/>
    <w:rsid w:val="006C02CB"/>
    <w:rsid w:val="006C5F27"/>
    <w:rsid w:val="006C6CDC"/>
    <w:rsid w:val="006C709D"/>
    <w:rsid w:val="006D27F0"/>
    <w:rsid w:val="006D4182"/>
    <w:rsid w:val="006D53A7"/>
    <w:rsid w:val="006D5A9B"/>
    <w:rsid w:val="006E10B9"/>
    <w:rsid w:val="006E5403"/>
    <w:rsid w:val="006F3F6E"/>
    <w:rsid w:val="006F59AD"/>
    <w:rsid w:val="006F78C1"/>
    <w:rsid w:val="006F7BAD"/>
    <w:rsid w:val="00700BC5"/>
    <w:rsid w:val="0070348A"/>
    <w:rsid w:val="00703703"/>
    <w:rsid w:val="00704D2F"/>
    <w:rsid w:val="0071097B"/>
    <w:rsid w:val="00711441"/>
    <w:rsid w:val="00711C45"/>
    <w:rsid w:val="00711E7D"/>
    <w:rsid w:val="00713CF7"/>
    <w:rsid w:val="00715E62"/>
    <w:rsid w:val="00720FC9"/>
    <w:rsid w:val="00721193"/>
    <w:rsid w:val="00721303"/>
    <w:rsid w:val="007235B2"/>
    <w:rsid w:val="00723781"/>
    <w:rsid w:val="0072458D"/>
    <w:rsid w:val="00727A6E"/>
    <w:rsid w:val="00727AA0"/>
    <w:rsid w:val="00730870"/>
    <w:rsid w:val="00730D3D"/>
    <w:rsid w:val="007330BB"/>
    <w:rsid w:val="007343B5"/>
    <w:rsid w:val="00737DB3"/>
    <w:rsid w:val="00740C2C"/>
    <w:rsid w:val="007412D5"/>
    <w:rsid w:val="00742F0E"/>
    <w:rsid w:val="00742F7F"/>
    <w:rsid w:val="00745F97"/>
    <w:rsid w:val="00750B24"/>
    <w:rsid w:val="00752AEA"/>
    <w:rsid w:val="0075338E"/>
    <w:rsid w:val="00753FD6"/>
    <w:rsid w:val="007540CE"/>
    <w:rsid w:val="00755007"/>
    <w:rsid w:val="00756873"/>
    <w:rsid w:val="00757CC9"/>
    <w:rsid w:val="00763756"/>
    <w:rsid w:val="00764706"/>
    <w:rsid w:val="00770F4F"/>
    <w:rsid w:val="007714CD"/>
    <w:rsid w:val="0077597F"/>
    <w:rsid w:val="00781DEB"/>
    <w:rsid w:val="00786D71"/>
    <w:rsid w:val="007920FE"/>
    <w:rsid w:val="00793B35"/>
    <w:rsid w:val="00794304"/>
    <w:rsid w:val="00794F48"/>
    <w:rsid w:val="007951F5"/>
    <w:rsid w:val="007953C7"/>
    <w:rsid w:val="00795B86"/>
    <w:rsid w:val="007972AE"/>
    <w:rsid w:val="007976E9"/>
    <w:rsid w:val="007A060A"/>
    <w:rsid w:val="007A2AE9"/>
    <w:rsid w:val="007A313C"/>
    <w:rsid w:val="007A3FC0"/>
    <w:rsid w:val="007B0F40"/>
    <w:rsid w:val="007B1EC1"/>
    <w:rsid w:val="007B37C3"/>
    <w:rsid w:val="007B3CDE"/>
    <w:rsid w:val="007B4F74"/>
    <w:rsid w:val="007B77FF"/>
    <w:rsid w:val="007B7F7F"/>
    <w:rsid w:val="007C330D"/>
    <w:rsid w:val="007C5CB3"/>
    <w:rsid w:val="007C63BA"/>
    <w:rsid w:val="007C6461"/>
    <w:rsid w:val="007D0614"/>
    <w:rsid w:val="007D1B9E"/>
    <w:rsid w:val="007D2B81"/>
    <w:rsid w:val="007D3709"/>
    <w:rsid w:val="007D778D"/>
    <w:rsid w:val="007E0351"/>
    <w:rsid w:val="007E14BA"/>
    <w:rsid w:val="007E1E9C"/>
    <w:rsid w:val="007E6DAA"/>
    <w:rsid w:val="007F0499"/>
    <w:rsid w:val="007F2DF8"/>
    <w:rsid w:val="007F3537"/>
    <w:rsid w:val="007F3A77"/>
    <w:rsid w:val="007F5FC5"/>
    <w:rsid w:val="007F6B65"/>
    <w:rsid w:val="007F7546"/>
    <w:rsid w:val="00802361"/>
    <w:rsid w:val="008055D8"/>
    <w:rsid w:val="008108D3"/>
    <w:rsid w:val="00810AC6"/>
    <w:rsid w:val="00815F41"/>
    <w:rsid w:val="0081628C"/>
    <w:rsid w:val="00816510"/>
    <w:rsid w:val="008174B1"/>
    <w:rsid w:val="00820F79"/>
    <w:rsid w:val="008222D9"/>
    <w:rsid w:val="0082419B"/>
    <w:rsid w:val="00830CEB"/>
    <w:rsid w:val="00830D0B"/>
    <w:rsid w:val="00833F25"/>
    <w:rsid w:val="00834A7C"/>
    <w:rsid w:val="0083540A"/>
    <w:rsid w:val="008366B1"/>
    <w:rsid w:val="00836B4C"/>
    <w:rsid w:val="00840AB3"/>
    <w:rsid w:val="00847E31"/>
    <w:rsid w:val="00851A4D"/>
    <w:rsid w:val="00862749"/>
    <w:rsid w:val="008627F1"/>
    <w:rsid w:val="00863438"/>
    <w:rsid w:val="008650FE"/>
    <w:rsid w:val="00867E16"/>
    <w:rsid w:val="00871C3E"/>
    <w:rsid w:val="00871CBF"/>
    <w:rsid w:val="00873F5C"/>
    <w:rsid w:val="00874B3A"/>
    <w:rsid w:val="00876453"/>
    <w:rsid w:val="00882AFC"/>
    <w:rsid w:val="00884A20"/>
    <w:rsid w:val="00885FC9"/>
    <w:rsid w:val="00894004"/>
    <w:rsid w:val="0089505F"/>
    <w:rsid w:val="00896108"/>
    <w:rsid w:val="00897993"/>
    <w:rsid w:val="008979EF"/>
    <w:rsid w:val="00897F2C"/>
    <w:rsid w:val="008A1186"/>
    <w:rsid w:val="008A25EA"/>
    <w:rsid w:val="008A409C"/>
    <w:rsid w:val="008A4849"/>
    <w:rsid w:val="008A5A2A"/>
    <w:rsid w:val="008A5D61"/>
    <w:rsid w:val="008A7E95"/>
    <w:rsid w:val="008A7F47"/>
    <w:rsid w:val="008B26FD"/>
    <w:rsid w:val="008B39BD"/>
    <w:rsid w:val="008B40D4"/>
    <w:rsid w:val="008B6D30"/>
    <w:rsid w:val="008B7B59"/>
    <w:rsid w:val="008C209D"/>
    <w:rsid w:val="008C35D2"/>
    <w:rsid w:val="008C5FE0"/>
    <w:rsid w:val="008C6852"/>
    <w:rsid w:val="008C753A"/>
    <w:rsid w:val="008D2094"/>
    <w:rsid w:val="008D3ACE"/>
    <w:rsid w:val="008D5B2D"/>
    <w:rsid w:val="008E06D5"/>
    <w:rsid w:val="008E1314"/>
    <w:rsid w:val="008E21BF"/>
    <w:rsid w:val="008E4E7B"/>
    <w:rsid w:val="008E7056"/>
    <w:rsid w:val="008F7EFD"/>
    <w:rsid w:val="00900CA6"/>
    <w:rsid w:val="0090525E"/>
    <w:rsid w:val="00905BAF"/>
    <w:rsid w:val="009063BD"/>
    <w:rsid w:val="00906CF1"/>
    <w:rsid w:val="00907329"/>
    <w:rsid w:val="009126EA"/>
    <w:rsid w:val="00915A64"/>
    <w:rsid w:val="00924284"/>
    <w:rsid w:val="009327D1"/>
    <w:rsid w:val="00934CEE"/>
    <w:rsid w:val="009356D7"/>
    <w:rsid w:val="00937123"/>
    <w:rsid w:val="00943009"/>
    <w:rsid w:val="009437EB"/>
    <w:rsid w:val="00943EEC"/>
    <w:rsid w:val="00951049"/>
    <w:rsid w:val="00961C86"/>
    <w:rsid w:val="00962C7E"/>
    <w:rsid w:val="0096464E"/>
    <w:rsid w:val="00964884"/>
    <w:rsid w:val="00966110"/>
    <w:rsid w:val="009679FE"/>
    <w:rsid w:val="009718F2"/>
    <w:rsid w:val="00975117"/>
    <w:rsid w:val="00976E45"/>
    <w:rsid w:val="00981466"/>
    <w:rsid w:val="00986C91"/>
    <w:rsid w:val="00987381"/>
    <w:rsid w:val="009918BD"/>
    <w:rsid w:val="00995559"/>
    <w:rsid w:val="009957AC"/>
    <w:rsid w:val="009964C2"/>
    <w:rsid w:val="009A05AF"/>
    <w:rsid w:val="009A3EBF"/>
    <w:rsid w:val="009A6384"/>
    <w:rsid w:val="009A69BE"/>
    <w:rsid w:val="009A6AFD"/>
    <w:rsid w:val="009A7EE0"/>
    <w:rsid w:val="009B1D49"/>
    <w:rsid w:val="009B3327"/>
    <w:rsid w:val="009B63B9"/>
    <w:rsid w:val="009B7EDE"/>
    <w:rsid w:val="009C14BF"/>
    <w:rsid w:val="009C2E0E"/>
    <w:rsid w:val="009C76C9"/>
    <w:rsid w:val="009D0827"/>
    <w:rsid w:val="009D0E9B"/>
    <w:rsid w:val="009D22E2"/>
    <w:rsid w:val="009D3A15"/>
    <w:rsid w:val="009D3C34"/>
    <w:rsid w:val="009D458C"/>
    <w:rsid w:val="009D53BF"/>
    <w:rsid w:val="009D5FFF"/>
    <w:rsid w:val="009D60FA"/>
    <w:rsid w:val="009D6EAC"/>
    <w:rsid w:val="009D6EBE"/>
    <w:rsid w:val="009D7DD3"/>
    <w:rsid w:val="009E0CBF"/>
    <w:rsid w:val="009E47A0"/>
    <w:rsid w:val="009E4F21"/>
    <w:rsid w:val="009E6DB7"/>
    <w:rsid w:val="009E74CF"/>
    <w:rsid w:val="009E7586"/>
    <w:rsid w:val="00A004E4"/>
    <w:rsid w:val="00A02D22"/>
    <w:rsid w:val="00A04610"/>
    <w:rsid w:val="00A05777"/>
    <w:rsid w:val="00A0648F"/>
    <w:rsid w:val="00A07A51"/>
    <w:rsid w:val="00A13850"/>
    <w:rsid w:val="00A1523B"/>
    <w:rsid w:val="00A229D1"/>
    <w:rsid w:val="00A27785"/>
    <w:rsid w:val="00A30934"/>
    <w:rsid w:val="00A333D0"/>
    <w:rsid w:val="00A33B0F"/>
    <w:rsid w:val="00A46FAE"/>
    <w:rsid w:val="00A502AC"/>
    <w:rsid w:val="00A56112"/>
    <w:rsid w:val="00A578A3"/>
    <w:rsid w:val="00A6073C"/>
    <w:rsid w:val="00A609FF"/>
    <w:rsid w:val="00A61692"/>
    <w:rsid w:val="00A625FB"/>
    <w:rsid w:val="00A664B4"/>
    <w:rsid w:val="00A71FB1"/>
    <w:rsid w:val="00A73E8F"/>
    <w:rsid w:val="00A753D2"/>
    <w:rsid w:val="00A76656"/>
    <w:rsid w:val="00A800C9"/>
    <w:rsid w:val="00A80F24"/>
    <w:rsid w:val="00A83039"/>
    <w:rsid w:val="00A839BB"/>
    <w:rsid w:val="00A87299"/>
    <w:rsid w:val="00A908F2"/>
    <w:rsid w:val="00A911B8"/>
    <w:rsid w:val="00A914AE"/>
    <w:rsid w:val="00A93A37"/>
    <w:rsid w:val="00A95726"/>
    <w:rsid w:val="00A95976"/>
    <w:rsid w:val="00A95C53"/>
    <w:rsid w:val="00AA2C45"/>
    <w:rsid w:val="00AA2EC3"/>
    <w:rsid w:val="00AA5B81"/>
    <w:rsid w:val="00AB00D5"/>
    <w:rsid w:val="00AB4A59"/>
    <w:rsid w:val="00AB6D97"/>
    <w:rsid w:val="00AB70DD"/>
    <w:rsid w:val="00AB7143"/>
    <w:rsid w:val="00AB7672"/>
    <w:rsid w:val="00AB77F5"/>
    <w:rsid w:val="00AC0364"/>
    <w:rsid w:val="00AC054C"/>
    <w:rsid w:val="00AC1EBF"/>
    <w:rsid w:val="00AC3595"/>
    <w:rsid w:val="00AC3596"/>
    <w:rsid w:val="00AC65AE"/>
    <w:rsid w:val="00AD2C50"/>
    <w:rsid w:val="00AD325F"/>
    <w:rsid w:val="00AD45C3"/>
    <w:rsid w:val="00AD553C"/>
    <w:rsid w:val="00AD5820"/>
    <w:rsid w:val="00AE3F84"/>
    <w:rsid w:val="00AE6437"/>
    <w:rsid w:val="00AE772A"/>
    <w:rsid w:val="00AE7EBC"/>
    <w:rsid w:val="00AF2AE0"/>
    <w:rsid w:val="00AF40A9"/>
    <w:rsid w:val="00AF7B09"/>
    <w:rsid w:val="00B002B4"/>
    <w:rsid w:val="00B02309"/>
    <w:rsid w:val="00B02B92"/>
    <w:rsid w:val="00B02F49"/>
    <w:rsid w:val="00B032E1"/>
    <w:rsid w:val="00B0343E"/>
    <w:rsid w:val="00B0664B"/>
    <w:rsid w:val="00B113FE"/>
    <w:rsid w:val="00B124E3"/>
    <w:rsid w:val="00B14ED1"/>
    <w:rsid w:val="00B15C24"/>
    <w:rsid w:val="00B15E26"/>
    <w:rsid w:val="00B20719"/>
    <w:rsid w:val="00B232BD"/>
    <w:rsid w:val="00B23B2B"/>
    <w:rsid w:val="00B24855"/>
    <w:rsid w:val="00B24D66"/>
    <w:rsid w:val="00B2639F"/>
    <w:rsid w:val="00B33428"/>
    <w:rsid w:val="00B349B8"/>
    <w:rsid w:val="00B4361D"/>
    <w:rsid w:val="00B439BB"/>
    <w:rsid w:val="00B46841"/>
    <w:rsid w:val="00B47D9D"/>
    <w:rsid w:val="00B55EFA"/>
    <w:rsid w:val="00B67D8F"/>
    <w:rsid w:val="00B70B31"/>
    <w:rsid w:val="00B75C04"/>
    <w:rsid w:val="00B773BC"/>
    <w:rsid w:val="00B8479C"/>
    <w:rsid w:val="00B91CE5"/>
    <w:rsid w:val="00B92328"/>
    <w:rsid w:val="00B962A4"/>
    <w:rsid w:val="00B964F2"/>
    <w:rsid w:val="00B9676E"/>
    <w:rsid w:val="00BA01E7"/>
    <w:rsid w:val="00BA2AE8"/>
    <w:rsid w:val="00BA3AD0"/>
    <w:rsid w:val="00BA4089"/>
    <w:rsid w:val="00BA52E8"/>
    <w:rsid w:val="00BB0B5F"/>
    <w:rsid w:val="00BB43F7"/>
    <w:rsid w:val="00BB5E5A"/>
    <w:rsid w:val="00BB7DAC"/>
    <w:rsid w:val="00BC2742"/>
    <w:rsid w:val="00BC29E6"/>
    <w:rsid w:val="00BC6BFC"/>
    <w:rsid w:val="00BD0980"/>
    <w:rsid w:val="00BD2C6A"/>
    <w:rsid w:val="00BD6D01"/>
    <w:rsid w:val="00BE1514"/>
    <w:rsid w:val="00BE2763"/>
    <w:rsid w:val="00BE3A4E"/>
    <w:rsid w:val="00BE647F"/>
    <w:rsid w:val="00BE7E0F"/>
    <w:rsid w:val="00BF210A"/>
    <w:rsid w:val="00BF721D"/>
    <w:rsid w:val="00BF73E2"/>
    <w:rsid w:val="00BF7E5D"/>
    <w:rsid w:val="00C016FA"/>
    <w:rsid w:val="00C0258E"/>
    <w:rsid w:val="00C055AD"/>
    <w:rsid w:val="00C13514"/>
    <w:rsid w:val="00C14156"/>
    <w:rsid w:val="00C1446F"/>
    <w:rsid w:val="00C1535F"/>
    <w:rsid w:val="00C23287"/>
    <w:rsid w:val="00C23C62"/>
    <w:rsid w:val="00C24923"/>
    <w:rsid w:val="00C25FF2"/>
    <w:rsid w:val="00C27B63"/>
    <w:rsid w:val="00C3555D"/>
    <w:rsid w:val="00C375E1"/>
    <w:rsid w:val="00C37B67"/>
    <w:rsid w:val="00C41ED5"/>
    <w:rsid w:val="00C41F34"/>
    <w:rsid w:val="00C431DC"/>
    <w:rsid w:val="00C432DE"/>
    <w:rsid w:val="00C4603E"/>
    <w:rsid w:val="00C46154"/>
    <w:rsid w:val="00C467D3"/>
    <w:rsid w:val="00C509F7"/>
    <w:rsid w:val="00C51659"/>
    <w:rsid w:val="00C544DE"/>
    <w:rsid w:val="00C55A94"/>
    <w:rsid w:val="00C55AFC"/>
    <w:rsid w:val="00C567BC"/>
    <w:rsid w:val="00C569F3"/>
    <w:rsid w:val="00C619FF"/>
    <w:rsid w:val="00C62535"/>
    <w:rsid w:val="00C6313D"/>
    <w:rsid w:val="00C63416"/>
    <w:rsid w:val="00C65E7E"/>
    <w:rsid w:val="00C73FDE"/>
    <w:rsid w:val="00C7447F"/>
    <w:rsid w:val="00C80A97"/>
    <w:rsid w:val="00C816C8"/>
    <w:rsid w:val="00C82A84"/>
    <w:rsid w:val="00C83EBE"/>
    <w:rsid w:val="00C8486C"/>
    <w:rsid w:val="00C84ECA"/>
    <w:rsid w:val="00C86C3D"/>
    <w:rsid w:val="00C87BEB"/>
    <w:rsid w:val="00C96A5B"/>
    <w:rsid w:val="00C9745F"/>
    <w:rsid w:val="00CA0C63"/>
    <w:rsid w:val="00CA1193"/>
    <w:rsid w:val="00CA1321"/>
    <w:rsid w:val="00CA2E79"/>
    <w:rsid w:val="00CB12DB"/>
    <w:rsid w:val="00CB13BF"/>
    <w:rsid w:val="00CB19B8"/>
    <w:rsid w:val="00CB1CE7"/>
    <w:rsid w:val="00CB2D9C"/>
    <w:rsid w:val="00CB65A6"/>
    <w:rsid w:val="00CB6FE6"/>
    <w:rsid w:val="00CC030B"/>
    <w:rsid w:val="00CC3DEB"/>
    <w:rsid w:val="00CC5257"/>
    <w:rsid w:val="00CD0822"/>
    <w:rsid w:val="00CD1379"/>
    <w:rsid w:val="00CD1C62"/>
    <w:rsid w:val="00CD1EAD"/>
    <w:rsid w:val="00CD2EAB"/>
    <w:rsid w:val="00CD5352"/>
    <w:rsid w:val="00CE125B"/>
    <w:rsid w:val="00CE372D"/>
    <w:rsid w:val="00CE5520"/>
    <w:rsid w:val="00CE61F0"/>
    <w:rsid w:val="00CE6889"/>
    <w:rsid w:val="00CE692A"/>
    <w:rsid w:val="00CF17CE"/>
    <w:rsid w:val="00CF2DC9"/>
    <w:rsid w:val="00CF52E3"/>
    <w:rsid w:val="00CF785D"/>
    <w:rsid w:val="00D01051"/>
    <w:rsid w:val="00D0200F"/>
    <w:rsid w:val="00D04594"/>
    <w:rsid w:val="00D06298"/>
    <w:rsid w:val="00D0706E"/>
    <w:rsid w:val="00D07E7F"/>
    <w:rsid w:val="00D07FC2"/>
    <w:rsid w:val="00D10D82"/>
    <w:rsid w:val="00D1420C"/>
    <w:rsid w:val="00D17C7B"/>
    <w:rsid w:val="00D200F7"/>
    <w:rsid w:val="00D229C5"/>
    <w:rsid w:val="00D2334F"/>
    <w:rsid w:val="00D2448E"/>
    <w:rsid w:val="00D31308"/>
    <w:rsid w:val="00D315D6"/>
    <w:rsid w:val="00D3697A"/>
    <w:rsid w:val="00D371AE"/>
    <w:rsid w:val="00D373C8"/>
    <w:rsid w:val="00D417D5"/>
    <w:rsid w:val="00D473D0"/>
    <w:rsid w:val="00D5482F"/>
    <w:rsid w:val="00D64072"/>
    <w:rsid w:val="00D645B6"/>
    <w:rsid w:val="00D6552A"/>
    <w:rsid w:val="00D65A98"/>
    <w:rsid w:val="00D662F7"/>
    <w:rsid w:val="00D67650"/>
    <w:rsid w:val="00D71EBE"/>
    <w:rsid w:val="00D7391E"/>
    <w:rsid w:val="00D75024"/>
    <w:rsid w:val="00D756AF"/>
    <w:rsid w:val="00D75A8B"/>
    <w:rsid w:val="00D82386"/>
    <w:rsid w:val="00D833D6"/>
    <w:rsid w:val="00D87AE8"/>
    <w:rsid w:val="00D9732B"/>
    <w:rsid w:val="00DA63C9"/>
    <w:rsid w:val="00DA6585"/>
    <w:rsid w:val="00DB172B"/>
    <w:rsid w:val="00DB5ED3"/>
    <w:rsid w:val="00DC05CC"/>
    <w:rsid w:val="00DC0DA1"/>
    <w:rsid w:val="00DC0E56"/>
    <w:rsid w:val="00DC423B"/>
    <w:rsid w:val="00DC78D7"/>
    <w:rsid w:val="00DD128E"/>
    <w:rsid w:val="00DD25D7"/>
    <w:rsid w:val="00DD2FA5"/>
    <w:rsid w:val="00DD33C3"/>
    <w:rsid w:val="00DD43B9"/>
    <w:rsid w:val="00DD59C1"/>
    <w:rsid w:val="00DD6A63"/>
    <w:rsid w:val="00DE1D13"/>
    <w:rsid w:val="00DE2B52"/>
    <w:rsid w:val="00DE61AF"/>
    <w:rsid w:val="00DE61CE"/>
    <w:rsid w:val="00DE6870"/>
    <w:rsid w:val="00DF0396"/>
    <w:rsid w:val="00DF1F42"/>
    <w:rsid w:val="00DF73FB"/>
    <w:rsid w:val="00E008EA"/>
    <w:rsid w:val="00E01567"/>
    <w:rsid w:val="00E01AA3"/>
    <w:rsid w:val="00E0520A"/>
    <w:rsid w:val="00E05350"/>
    <w:rsid w:val="00E071DD"/>
    <w:rsid w:val="00E11F69"/>
    <w:rsid w:val="00E13B3B"/>
    <w:rsid w:val="00E1622B"/>
    <w:rsid w:val="00E178B8"/>
    <w:rsid w:val="00E21484"/>
    <w:rsid w:val="00E21C07"/>
    <w:rsid w:val="00E27170"/>
    <w:rsid w:val="00E273C2"/>
    <w:rsid w:val="00E31C43"/>
    <w:rsid w:val="00E33B2B"/>
    <w:rsid w:val="00E35F59"/>
    <w:rsid w:val="00E3659A"/>
    <w:rsid w:val="00E3719D"/>
    <w:rsid w:val="00E434DE"/>
    <w:rsid w:val="00E56261"/>
    <w:rsid w:val="00E613B9"/>
    <w:rsid w:val="00E61A97"/>
    <w:rsid w:val="00E659DE"/>
    <w:rsid w:val="00E7151B"/>
    <w:rsid w:val="00E72DE1"/>
    <w:rsid w:val="00E73F45"/>
    <w:rsid w:val="00E73F96"/>
    <w:rsid w:val="00E74329"/>
    <w:rsid w:val="00E763BE"/>
    <w:rsid w:val="00E77828"/>
    <w:rsid w:val="00E801A7"/>
    <w:rsid w:val="00E81AA1"/>
    <w:rsid w:val="00E841FB"/>
    <w:rsid w:val="00E8545C"/>
    <w:rsid w:val="00E91DEC"/>
    <w:rsid w:val="00EA10A6"/>
    <w:rsid w:val="00EA217E"/>
    <w:rsid w:val="00EA5EE1"/>
    <w:rsid w:val="00EA6DE4"/>
    <w:rsid w:val="00EA739D"/>
    <w:rsid w:val="00EC1DA7"/>
    <w:rsid w:val="00EC42DE"/>
    <w:rsid w:val="00EC7476"/>
    <w:rsid w:val="00ED2D86"/>
    <w:rsid w:val="00ED3AE8"/>
    <w:rsid w:val="00ED4E8E"/>
    <w:rsid w:val="00EE4ED6"/>
    <w:rsid w:val="00EE647F"/>
    <w:rsid w:val="00EE75A9"/>
    <w:rsid w:val="00EE7F3E"/>
    <w:rsid w:val="00EF0C17"/>
    <w:rsid w:val="00EF2971"/>
    <w:rsid w:val="00EF3ABB"/>
    <w:rsid w:val="00EF3BB8"/>
    <w:rsid w:val="00EF5E33"/>
    <w:rsid w:val="00EF66F1"/>
    <w:rsid w:val="00EF6CE0"/>
    <w:rsid w:val="00F00560"/>
    <w:rsid w:val="00F01EED"/>
    <w:rsid w:val="00F02FEC"/>
    <w:rsid w:val="00F03D88"/>
    <w:rsid w:val="00F04418"/>
    <w:rsid w:val="00F04595"/>
    <w:rsid w:val="00F045CB"/>
    <w:rsid w:val="00F05394"/>
    <w:rsid w:val="00F058E3"/>
    <w:rsid w:val="00F065F6"/>
    <w:rsid w:val="00F10E2D"/>
    <w:rsid w:val="00F11076"/>
    <w:rsid w:val="00F1410E"/>
    <w:rsid w:val="00F20030"/>
    <w:rsid w:val="00F21BC0"/>
    <w:rsid w:val="00F21FA6"/>
    <w:rsid w:val="00F22C17"/>
    <w:rsid w:val="00F23D9F"/>
    <w:rsid w:val="00F327B4"/>
    <w:rsid w:val="00F41E9D"/>
    <w:rsid w:val="00F43CF2"/>
    <w:rsid w:val="00F45B4E"/>
    <w:rsid w:val="00F52697"/>
    <w:rsid w:val="00F612F8"/>
    <w:rsid w:val="00F63768"/>
    <w:rsid w:val="00F6387D"/>
    <w:rsid w:val="00F63CB0"/>
    <w:rsid w:val="00F664D6"/>
    <w:rsid w:val="00F665A5"/>
    <w:rsid w:val="00F70E5C"/>
    <w:rsid w:val="00F724E7"/>
    <w:rsid w:val="00F750B1"/>
    <w:rsid w:val="00F75469"/>
    <w:rsid w:val="00F75A7E"/>
    <w:rsid w:val="00F764E9"/>
    <w:rsid w:val="00F771F0"/>
    <w:rsid w:val="00F82641"/>
    <w:rsid w:val="00F84851"/>
    <w:rsid w:val="00F902BF"/>
    <w:rsid w:val="00F91F44"/>
    <w:rsid w:val="00F95ECF"/>
    <w:rsid w:val="00FA28C6"/>
    <w:rsid w:val="00FA343F"/>
    <w:rsid w:val="00FA4BB2"/>
    <w:rsid w:val="00FB1EAA"/>
    <w:rsid w:val="00FB2E85"/>
    <w:rsid w:val="00FB54E5"/>
    <w:rsid w:val="00FB63BF"/>
    <w:rsid w:val="00FB72DE"/>
    <w:rsid w:val="00FB76D4"/>
    <w:rsid w:val="00FC067C"/>
    <w:rsid w:val="00FC243E"/>
    <w:rsid w:val="00FC4583"/>
    <w:rsid w:val="00FD0913"/>
    <w:rsid w:val="00FD1700"/>
    <w:rsid w:val="00FD2DFA"/>
    <w:rsid w:val="00FD4798"/>
    <w:rsid w:val="00FD53E7"/>
    <w:rsid w:val="00FD784C"/>
    <w:rsid w:val="00FE5D6F"/>
    <w:rsid w:val="00FE5E21"/>
    <w:rsid w:val="00FF02B4"/>
    <w:rsid w:val="00FF1CC0"/>
    <w:rsid w:val="00FF20D4"/>
    <w:rsid w:val="00FF26EB"/>
    <w:rsid w:val="00FF3378"/>
    <w:rsid w:val="00FF455E"/>
    <w:rsid w:val="00FF52BB"/>
    <w:rsid w:val="00FF5797"/>
  </w:rsids>
  <m:mathPr>
    <m:mathFont m:val="Cambria Math"/>
    <m:brkBin m:val="before"/>
    <m:brkBinSub m:val="--"/>
    <m:smallFrac m:val="off"/>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5939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st Bullet"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69D5"/>
    <w:pPr>
      <w:spacing w:after="0" w:line="240" w:lineRule="auto"/>
    </w:pPr>
    <w:rPr>
      <w:rFonts w:ascii="Times New Roman" w:eastAsia="Times New Roman" w:hAnsi="Times New Roman" w:cs="Times New Roman"/>
      <w:sz w:val="24"/>
      <w:szCs w:val="24"/>
    </w:rPr>
  </w:style>
  <w:style w:type="paragraph" w:styleId="Heading1">
    <w:name w:val="heading 1"/>
    <w:basedOn w:val="Normal"/>
    <w:next w:val="BodyText"/>
    <w:link w:val="Heading1Char"/>
    <w:qFormat/>
    <w:rsid w:val="006469D5"/>
    <w:pPr>
      <w:keepNext/>
      <w:numPr>
        <w:numId w:val="1"/>
      </w:numPr>
      <w:spacing w:before="120" w:after="240"/>
      <w:outlineLvl w:val="0"/>
    </w:pPr>
    <w:rPr>
      <w:rFonts w:ascii="Arial" w:hAnsi="Arial"/>
      <w:b/>
      <w:caps/>
      <w:kern w:val="28"/>
      <w:sz w:val="28"/>
      <w:lang w:val="en-US"/>
    </w:rPr>
  </w:style>
  <w:style w:type="paragraph" w:styleId="Heading2">
    <w:name w:val="heading 2"/>
    <w:basedOn w:val="Normal"/>
    <w:next w:val="BodyText"/>
    <w:link w:val="Heading2Char"/>
    <w:qFormat/>
    <w:rsid w:val="006469D5"/>
    <w:pPr>
      <w:keepNext/>
      <w:numPr>
        <w:ilvl w:val="1"/>
        <w:numId w:val="1"/>
      </w:numPr>
      <w:spacing w:before="240" w:after="200"/>
      <w:outlineLvl w:val="1"/>
    </w:pPr>
    <w:rPr>
      <w:rFonts w:ascii="Arial" w:hAnsi="Arial"/>
      <w:b/>
      <w:caps/>
      <w:kern w:val="28"/>
      <w:lang w:val="en-US"/>
    </w:rPr>
  </w:style>
  <w:style w:type="paragraph" w:styleId="Heading3">
    <w:name w:val="heading 3"/>
    <w:basedOn w:val="Normal"/>
    <w:next w:val="BodyText"/>
    <w:link w:val="Heading3Char"/>
    <w:qFormat/>
    <w:rsid w:val="006469D5"/>
    <w:pPr>
      <w:keepNext/>
      <w:numPr>
        <w:ilvl w:val="2"/>
        <w:numId w:val="1"/>
      </w:numPr>
      <w:spacing w:before="240" w:after="160"/>
      <w:outlineLvl w:val="2"/>
    </w:pPr>
    <w:rPr>
      <w:rFonts w:ascii="Arial" w:hAnsi="Arial"/>
      <w:b/>
      <w:kern w:val="28"/>
      <w:lang w:val="en-US"/>
    </w:rPr>
  </w:style>
  <w:style w:type="paragraph" w:styleId="Heading4">
    <w:name w:val="heading 4"/>
    <w:basedOn w:val="Normal"/>
    <w:next w:val="BodyText"/>
    <w:link w:val="Heading4Char"/>
    <w:qFormat/>
    <w:rsid w:val="006469D5"/>
    <w:pPr>
      <w:keepNext/>
      <w:numPr>
        <w:ilvl w:val="3"/>
        <w:numId w:val="1"/>
      </w:numPr>
      <w:tabs>
        <w:tab w:val="left" w:pos="1440"/>
      </w:tabs>
      <w:spacing w:before="200" w:after="160"/>
      <w:outlineLvl w:val="3"/>
    </w:pPr>
    <w:rPr>
      <w:rFonts w:ascii="Arial" w:hAnsi="Arial"/>
      <w:kern w:val="28"/>
      <w:lang w:val="en-US"/>
    </w:rPr>
  </w:style>
  <w:style w:type="paragraph" w:styleId="Heading5">
    <w:name w:val="heading 5"/>
    <w:basedOn w:val="Normal"/>
    <w:next w:val="BodyText"/>
    <w:link w:val="Heading5Char"/>
    <w:qFormat/>
    <w:rsid w:val="006469D5"/>
    <w:pPr>
      <w:spacing w:before="160" w:after="120"/>
      <w:ind w:left="576"/>
      <w:outlineLvl w:val="4"/>
    </w:pPr>
    <w:rPr>
      <w:b/>
      <w:i/>
    </w:rPr>
  </w:style>
  <w:style w:type="paragraph" w:styleId="Heading6">
    <w:name w:val="heading 6"/>
    <w:basedOn w:val="Normal"/>
    <w:next w:val="Normal"/>
    <w:link w:val="Heading6Char"/>
    <w:unhideWhenUsed/>
    <w:qFormat/>
    <w:rsid w:val="00B02F49"/>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469D5"/>
    <w:rPr>
      <w:rFonts w:ascii="Arial" w:eastAsia="Times New Roman" w:hAnsi="Arial" w:cs="Times New Roman"/>
      <w:b/>
      <w:caps/>
      <w:kern w:val="28"/>
      <w:sz w:val="28"/>
      <w:szCs w:val="24"/>
      <w:lang w:val="en-US"/>
    </w:rPr>
  </w:style>
  <w:style w:type="character" w:customStyle="1" w:styleId="Heading2Char">
    <w:name w:val="Heading 2 Char"/>
    <w:basedOn w:val="DefaultParagraphFont"/>
    <w:link w:val="Heading2"/>
    <w:rsid w:val="006469D5"/>
    <w:rPr>
      <w:rFonts w:ascii="Arial" w:eastAsia="Times New Roman" w:hAnsi="Arial" w:cs="Times New Roman"/>
      <w:b/>
      <w:caps/>
      <w:kern w:val="28"/>
      <w:sz w:val="24"/>
      <w:szCs w:val="24"/>
      <w:lang w:val="en-US"/>
    </w:rPr>
  </w:style>
  <w:style w:type="character" w:customStyle="1" w:styleId="Heading3Char">
    <w:name w:val="Heading 3 Char"/>
    <w:basedOn w:val="DefaultParagraphFont"/>
    <w:link w:val="Heading3"/>
    <w:rsid w:val="006469D5"/>
    <w:rPr>
      <w:rFonts w:ascii="Arial" w:eastAsia="Times New Roman" w:hAnsi="Arial" w:cs="Times New Roman"/>
      <w:b/>
      <w:kern w:val="28"/>
      <w:sz w:val="24"/>
      <w:szCs w:val="24"/>
      <w:lang w:val="en-US"/>
    </w:rPr>
  </w:style>
  <w:style w:type="character" w:customStyle="1" w:styleId="Heading4Char">
    <w:name w:val="Heading 4 Char"/>
    <w:basedOn w:val="DefaultParagraphFont"/>
    <w:link w:val="Heading4"/>
    <w:rsid w:val="006469D5"/>
    <w:rPr>
      <w:rFonts w:ascii="Arial" w:eastAsia="Times New Roman" w:hAnsi="Arial" w:cs="Times New Roman"/>
      <w:kern w:val="28"/>
      <w:sz w:val="24"/>
      <w:szCs w:val="24"/>
      <w:lang w:val="en-US"/>
    </w:rPr>
  </w:style>
  <w:style w:type="character" w:customStyle="1" w:styleId="Heading5Char">
    <w:name w:val="Heading 5 Char"/>
    <w:basedOn w:val="DefaultParagraphFont"/>
    <w:link w:val="Heading5"/>
    <w:rsid w:val="006469D5"/>
    <w:rPr>
      <w:rFonts w:ascii="Times New Roman" w:eastAsia="Times New Roman" w:hAnsi="Times New Roman" w:cs="Times New Roman"/>
      <w:b/>
      <w:i/>
      <w:sz w:val="24"/>
      <w:szCs w:val="24"/>
    </w:rPr>
  </w:style>
  <w:style w:type="paragraph" w:styleId="BodyText">
    <w:name w:val="Body Text"/>
    <w:basedOn w:val="Normal"/>
    <w:link w:val="BodyTextChar"/>
    <w:rsid w:val="006469D5"/>
    <w:pPr>
      <w:spacing w:after="240"/>
    </w:pPr>
  </w:style>
  <w:style w:type="character" w:customStyle="1" w:styleId="BodyTextChar">
    <w:name w:val="Body Text Char"/>
    <w:basedOn w:val="DefaultParagraphFont"/>
    <w:link w:val="BodyText"/>
    <w:rsid w:val="006469D5"/>
    <w:rPr>
      <w:rFonts w:ascii="Times New Roman" w:eastAsia="Times New Roman" w:hAnsi="Times New Roman" w:cs="Times New Roman"/>
      <w:sz w:val="24"/>
      <w:szCs w:val="24"/>
    </w:rPr>
  </w:style>
  <w:style w:type="paragraph" w:styleId="Header">
    <w:name w:val="header"/>
    <w:basedOn w:val="Normal"/>
    <w:link w:val="HeaderChar"/>
    <w:rsid w:val="006469D5"/>
    <w:pPr>
      <w:tabs>
        <w:tab w:val="center" w:pos="4320"/>
        <w:tab w:val="right" w:pos="8640"/>
      </w:tabs>
    </w:pPr>
  </w:style>
  <w:style w:type="character" w:customStyle="1" w:styleId="HeaderChar">
    <w:name w:val="Header Char"/>
    <w:basedOn w:val="DefaultParagraphFont"/>
    <w:link w:val="Header"/>
    <w:rsid w:val="006469D5"/>
    <w:rPr>
      <w:rFonts w:ascii="Times New Roman" w:eastAsia="Times New Roman" w:hAnsi="Times New Roman" w:cs="Times New Roman"/>
      <w:sz w:val="24"/>
      <w:szCs w:val="24"/>
    </w:rPr>
  </w:style>
  <w:style w:type="table" w:styleId="TableGrid">
    <w:name w:val="Table Grid"/>
    <w:basedOn w:val="TableNormal"/>
    <w:uiPriority w:val="59"/>
    <w:rsid w:val="006469D5"/>
    <w:pPr>
      <w:spacing w:after="0" w:line="240" w:lineRule="auto"/>
    </w:pPr>
    <w:rPr>
      <w:rFonts w:ascii="Times New Roman" w:eastAsia="Times New Roman" w:hAnsi="Times New Roman" w:cs="Times New Roman"/>
      <w:sz w:val="20"/>
      <w:szCs w:val="20"/>
      <w:lang w:eastAsia="en-C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FootnoteReference">
    <w:name w:val="footnote reference"/>
    <w:basedOn w:val="DefaultParagraphFont"/>
    <w:uiPriority w:val="99"/>
    <w:rsid w:val="006469D5"/>
    <w:rPr>
      <w:vertAlign w:val="superscript"/>
    </w:rPr>
  </w:style>
  <w:style w:type="paragraph" w:styleId="ListParagraph">
    <w:name w:val="List Paragraph"/>
    <w:basedOn w:val="Normal"/>
    <w:uiPriority w:val="34"/>
    <w:qFormat/>
    <w:rsid w:val="006469D5"/>
    <w:pPr>
      <w:spacing w:after="200" w:line="276" w:lineRule="auto"/>
      <w:ind w:left="720"/>
      <w:contextualSpacing/>
    </w:pPr>
    <w:rPr>
      <w:rFonts w:asciiTheme="minorHAnsi" w:eastAsiaTheme="minorHAnsi" w:hAnsiTheme="minorHAnsi" w:cstheme="minorBidi"/>
      <w:sz w:val="22"/>
      <w:szCs w:val="22"/>
    </w:rPr>
  </w:style>
  <w:style w:type="paragraph" w:styleId="FootnoteText">
    <w:name w:val="footnote text"/>
    <w:basedOn w:val="Normal"/>
    <w:link w:val="FootnoteTextChar"/>
    <w:uiPriority w:val="99"/>
    <w:rsid w:val="006469D5"/>
    <w:rPr>
      <w:sz w:val="20"/>
      <w:szCs w:val="20"/>
    </w:rPr>
  </w:style>
  <w:style w:type="character" w:customStyle="1" w:styleId="FootnoteTextChar">
    <w:name w:val="Footnote Text Char"/>
    <w:basedOn w:val="DefaultParagraphFont"/>
    <w:link w:val="FootnoteText"/>
    <w:uiPriority w:val="99"/>
    <w:rsid w:val="006469D5"/>
    <w:rPr>
      <w:rFonts w:ascii="Times New Roman" w:eastAsia="Times New Roman" w:hAnsi="Times New Roman" w:cs="Times New Roman"/>
      <w:sz w:val="20"/>
      <w:szCs w:val="20"/>
    </w:rPr>
  </w:style>
  <w:style w:type="paragraph" w:styleId="BalloonText">
    <w:name w:val="Balloon Text"/>
    <w:basedOn w:val="Normal"/>
    <w:link w:val="BalloonTextChar"/>
    <w:unhideWhenUsed/>
    <w:rsid w:val="006469D5"/>
    <w:rPr>
      <w:rFonts w:ascii="Tahoma" w:hAnsi="Tahoma" w:cs="Tahoma"/>
      <w:sz w:val="16"/>
      <w:szCs w:val="16"/>
    </w:rPr>
  </w:style>
  <w:style w:type="character" w:customStyle="1" w:styleId="BalloonTextChar">
    <w:name w:val="Balloon Text Char"/>
    <w:basedOn w:val="DefaultParagraphFont"/>
    <w:link w:val="BalloonText"/>
    <w:rsid w:val="006469D5"/>
    <w:rPr>
      <w:rFonts w:ascii="Tahoma" w:eastAsia="Times New Roman" w:hAnsi="Tahoma" w:cs="Tahoma"/>
      <w:sz w:val="16"/>
      <w:szCs w:val="16"/>
    </w:rPr>
  </w:style>
  <w:style w:type="paragraph" w:styleId="Footer">
    <w:name w:val="footer"/>
    <w:basedOn w:val="Normal"/>
    <w:link w:val="FooterChar"/>
    <w:uiPriority w:val="99"/>
    <w:unhideWhenUsed/>
    <w:rsid w:val="00A27785"/>
    <w:pPr>
      <w:tabs>
        <w:tab w:val="center" w:pos="4680"/>
        <w:tab w:val="right" w:pos="9360"/>
      </w:tabs>
    </w:pPr>
  </w:style>
  <w:style w:type="character" w:customStyle="1" w:styleId="FooterChar">
    <w:name w:val="Footer Char"/>
    <w:basedOn w:val="DefaultParagraphFont"/>
    <w:link w:val="Footer"/>
    <w:uiPriority w:val="99"/>
    <w:rsid w:val="00A27785"/>
    <w:rPr>
      <w:rFonts w:ascii="Times New Roman" w:eastAsia="Times New Roman" w:hAnsi="Times New Roman" w:cs="Times New Roman"/>
      <w:sz w:val="24"/>
      <w:szCs w:val="24"/>
    </w:rPr>
  </w:style>
  <w:style w:type="paragraph" w:customStyle="1" w:styleId="TableTitle5-tabletext">
    <w:name w:val="Table Title 5 - table text"/>
    <w:basedOn w:val="Normal"/>
    <w:rsid w:val="004F351A"/>
    <w:pPr>
      <w:spacing w:before="40" w:after="40"/>
    </w:pPr>
    <w:rPr>
      <w:sz w:val="22"/>
      <w:lang w:val="en-US"/>
    </w:rPr>
  </w:style>
  <w:style w:type="paragraph" w:customStyle="1" w:styleId="TableTitle5-tabletext-bold">
    <w:name w:val="Table Title 5 - table text - bold"/>
    <w:basedOn w:val="TableTitle5-tabletext"/>
    <w:qFormat/>
    <w:rsid w:val="004F351A"/>
    <w:rPr>
      <w:b/>
    </w:rPr>
  </w:style>
  <w:style w:type="paragraph" w:customStyle="1" w:styleId="FigureTitle">
    <w:name w:val="Figure Title"/>
    <w:basedOn w:val="Normal"/>
    <w:next w:val="BodyText"/>
    <w:rsid w:val="00400FDE"/>
    <w:pPr>
      <w:keepNext/>
      <w:numPr>
        <w:numId w:val="2"/>
      </w:numPr>
      <w:tabs>
        <w:tab w:val="clear" w:pos="2291"/>
        <w:tab w:val="left" w:pos="1080"/>
        <w:tab w:val="num" w:pos="1440"/>
      </w:tabs>
      <w:spacing w:before="120" w:after="160"/>
      <w:ind w:left="1080"/>
    </w:pPr>
    <w:rPr>
      <w:rFonts w:ascii="Arial" w:hAnsi="Arial"/>
      <w:noProof/>
      <w:szCs w:val="20"/>
    </w:rPr>
  </w:style>
  <w:style w:type="paragraph" w:customStyle="1" w:styleId="FigureTitle1">
    <w:name w:val="Figure Title 1"/>
    <w:basedOn w:val="Normal"/>
    <w:next w:val="BodyText"/>
    <w:rsid w:val="00400FDE"/>
    <w:pPr>
      <w:numPr>
        <w:numId w:val="3"/>
      </w:numPr>
      <w:spacing w:before="120" w:after="160"/>
    </w:pPr>
    <w:rPr>
      <w:rFonts w:ascii="Arial" w:hAnsi="Arial"/>
      <w:szCs w:val="20"/>
      <w:lang w:val="en-US"/>
    </w:rPr>
  </w:style>
  <w:style w:type="paragraph" w:styleId="ListBullet">
    <w:name w:val="List Bullet"/>
    <w:basedOn w:val="Normal"/>
    <w:autoRedefine/>
    <w:qFormat/>
    <w:rsid w:val="002F4BF0"/>
    <w:pPr>
      <w:numPr>
        <w:numId w:val="4"/>
      </w:numPr>
      <w:tabs>
        <w:tab w:val="left" w:pos="1080"/>
      </w:tabs>
      <w:spacing w:after="120"/>
    </w:pPr>
    <w:rPr>
      <w:szCs w:val="20"/>
    </w:rPr>
  </w:style>
  <w:style w:type="paragraph" w:customStyle="1" w:styleId="NumberList">
    <w:name w:val="Number List"/>
    <w:basedOn w:val="Normal"/>
    <w:rsid w:val="00F01EED"/>
    <w:pPr>
      <w:numPr>
        <w:numId w:val="6"/>
      </w:numPr>
      <w:spacing w:after="120"/>
    </w:pPr>
    <w:rPr>
      <w:szCs w:val="20"/>
    </w:rPr>
  </w:style>
  <w:style w:type="paragraph" w:customStyle="1" w:styleId="Citation">
    <w:name w:val="Citation"/>
    <w:basedOn w:val="BodyText"/>
    <w:link w:val="CitationChar"/>
    <w:rsid w:val="001B335D"/>
    <w:pPr>
      <w:ind w:left="720" w:hanging="720"/>
    </w:pPr>
    <w:rPr>
      <w:spacing w:val="-3"/>
      <w:szCs w:val="20"/>
    </w:rPr>
  </w:style>
  <w:style w:type="character" w:customStyle="1" w:styleId="CitationChar">
    <w:name w:val="Citation Char"/>
    <w:basedOn w:val="BodyTextChar"/>
    <w:link w:val="Citation"/>
    <w:locked/>
    <w:rsid w:val="001B335D"/>
    <w:rPr>
      <w:spacing w:val="-3"/>
      <w:szCs w:val="20"/>
    </w:rPr>
  </w:style>
  <w:style w:type="character" w:styleId="Emphasis">
    <w:name w:val="Emphasis"/>
    <w:basedOn w:val="DefaultParagraphFont"/>
    <w:qFormat/>
    <w:rsid w:val="001B335D"/>
    <w:rPr>
      <w:i/>
      <w:iCs/>
    </w:rPr>
  </w:style>
  <w:style w:type="character" w:styleId="HTMLCite">
    <w:name w:val="HTML Cite"/>
    <w:basedOn w:val="DefaultParagraphFont"/>
    <w:uiPriority w:val="99"/>
    <w:unhideWhenUsed/>
    <w:rsid w:val="001B335D"/>
    <w:rPr>
      <w:i/>
      <w:iCs/>
    </w:rPr>
  </w:style>
  <w:style w:type="character" w:styleId="Hyperlink">
    <w:name w:val="Hyperlink"/>
    <w:basedOn w:val="DefaultParagraphFont"/>
    <w:uiPriority w:val="99"/>
    <w:unhideWhenUsed/>
    <w:rsid w:val="001B335D"/>
    <w:rPr>
      <w:color w:val="0000FF"/>
      <w:u w:val="single"/>
    </w:rPr>
  </w:style>
  <w:style w:type="character" w:styleId="Strong">
    <w:name w:val="Strong"/>
    <w:basedOn w:val="DefaultParagraphFont"/>
    <w:uiPriority w:val="22"/>
    <w:qFormat/>
    <w:rsid w:val="001B335D"/>
    <w:rPr>
      <w:b/>
      <w:bCs/>
    </w:rPr>
  </w:style>
  <w:style w:type="paragraph" w:styleId="Caption">
    <w:name w:val="caption"/>
    <w:basedOn w:val="Normal"/>
    <w:next w:val="Normal"/>
    <w:uiPriority w:val="35"/>
    <w:qFormat/>
    <w:rsid w:val="0017122E"/>
    <w:rPr>
      <w:b/>
      <w:bCs/>
      <w:sz w:val="20"/>
      <w:szCs w:val="20"/>
      <w:lang w:eastAsia="en-CA"/>
    </w:rPr>
  </w:style>
  <w:style w:type="paragraph" w:customStyle="1" w:styleId="TableTitle">
    <w:name w:val="Table Title"/>
    <w:basedOn w:val="Normal"/>
    <w:next w:val="BodyText"/>
    <w:autoRedefine/>
    <w:rsid w:val="0017122E"/>
    <w:pPr>
      <w:numPr>
        <w:numId w:val="7"/>
      </w:numPr>
      <w:spacing w:after="160"/>
      <w:ind w:left="1077" w:hanging="1077"/>
    </w:pPr>
    <w:rPr>
      <w:sz w:val="18"/>
      <w:szCs w:val="18"/>
      <w:lang w:val="en-US"/>
    </w:rPr>
  </w:style>
  <w:style w:type="paragraph" w:customStyle="1" w:styleId="ListBulletLast">
    <w:name w:val="List Bullet Last"/>
    <w:basedOn w:val="ListBullet"/>
    <w:next w:val="BodyText"/>
    <w:rsid w:val="00B02F49"/>
    <w:pPr>
      <w:numPr>
        <w:numId w:val="0"/>
      </w:numPr>
      <w:tabs>
        <w:tab w:val="clear" w:pos="1080"/>
      </w:tabs>
      <w:spacing w:after="240"/>
    </w:pPr>
    <w:rPr>
      <w:szCs w:val="24"/>
    </w:rPr>
  </w:style>
  <w:style w:type="paragraph" w:customStyle="1" w:styleId="FirstBullet">
    <w:name w:val="First Bullet"/>
    <w:basedOn w:val="ListBullet"/>
    <w:next w:val="ListBullet"/>
    <w:rsid w:val="00B02F49"/>
    <w:pPr>
      <w:numPr>
        <w:numId w:val="0"/>
      </w:numPr>
      <w:tabs>
        <w:tab w:val="clear" w:pos="1080"/>
      </w:tabs>
    </w:pPr>
    <w:rPr>
      <w:szCs w:val="24"/>
    </w:rPr>
  </w:style>
  <w:style w:type="character" w:customStyle="1" w:styleId="Heading6Char">
    <w:name w:val="Heading 6 Char"/>
    <w:basedOn w:val="DefaultParagraphFont"/>
    <w:link w:val="Heading6"/>
    <w:uiPriority w:val="9"/>
    <w:semiHidden/>
    <w:rsid w:val="00B02F49"/>
    <w:rPr>
      <w:rFonts w:asciiTheme="majorHAnsi" w:eastAsiaTheme="majorEastAsia" w:hAnsiTheme="majorHAnsi" w:cstheme="majorBidi"/>
      <w:i/>
      <w:iCs/>
      <w:color w:val="243F60" w:themeColor="accent1" w:themeShade="7F"/>
      <w:sz w:val="24"/>
      <w:szCs w:val="24"/>
    </w:rPr>
  </w:style>
  <w:style w:type="paragraph" w:styleId="EndnoteText">
    <w:name w:val="endnote text"/>
    <w:basedOn w:val="Normal"/>
    <w:link w:val="EndnoteTextChar"/>
    <w:uiPriority w:val="99"/>
    <w:semiHidden/>
    <w:rsid w:val="00E31C43"/>
    <w:pPr>
      <w:jc w:val="both"/>
    </w:pPr>
    <w:rPr>
      <w:rFonts w:ascii="Calibri" w:eastAsia="Calibri" w:hAnsi="Calibri"/>
      <w:sz w:val="20"/>
      <w:szCs w:val="20"/>
    </w:rPr>
  </w:style>
  <w:style w:type="character" w:customStyle="1" w:styleId="EndnoteTextChar">
    <w:name w:val="Endnote Text Char"/>
    <w:basedOn w:val="DefaultParagraphFont"/>
    <w:link w:val="EndnoteText"/>
    <w:uiPriority w:val="99"/>
    <w:semiHidden/>
    <w:rsid w:val="00E31C43"/>
    <w:rPr>
      <w:rFonts w:ascii="Calibri" w:eastAsia="Calibri" w:hAnsi="Calibri" w:cs="Times New Roman"/>
      <w:sz w:val="20"/>
      <w:szCs w:val="20"/>
    </w:rPr>
  </w:style>
  <w:style w:type="character" w:styleId="EndnoteReference">
    <w:name w:val="endnote reference"/>
    <w:basedOn w:val="DefaultParagraphFont"/>
    <w:uiPriority w:val="99"/>
    <w:semiHidden/>
    <w:rsid w:val="00E31C43"/>
    <w:rPr>
      <w:rFonts w:cs="Times New Roman"/>
      <w:vertAlign w:val="superscript"/>
    </w:rPr>
  </w:style>
  <w:style w:type="paragraph" w:styleId="NormalWeb">
    <w:name w:val="Normal (Web)"/>
    <w:basedOn w:val="Normal"/>
    <w:uiPriority w:val="99"/>
    <w:unhideWhenUsed/>
    <w:rsid w:val="00E31C43"/>
    <w:pPr>
      <w:spacing w:before="100" w:beforeAutospacing="1" w:after="100" w:afterAutospacing="1"/>
    </w:pPr>
    <w:rPr>
      <w:lang w:eastAsia="en-CA"/>
    </w:rPr>
  </w:style>
  <w:style w:type="paragraph" w:customStyle="1" w:styleId="FigureCaption">
    <w:name w:val="Figure Caption"/>
    <w:basedOn w:val="GeneralText"/>
    <w:rsid w:val="001A780C"/>
    <w:pPr>
      <w:keepLines/>
      <w:widowControl w:val="0"/>
      <w:spacing w:after="100" w:line="220" w:lineRule="exact"/>
    </w:pPr>
    <w:rPr>
      <w:sz w:val="20"/>
    </w:rPr>
  </w:style>
  <w:style w:type="paragraph" w:customStyle="1" w:styleId="GeneralText">
    <w:name w:val="General Text"/>
    <w:basedOn w:val="Normal"/>
    <w:rsid w:val="001A780C"/>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overflowPunct w:val="0"/>
      <w:autoSpaceDE w:val="0"/>
      <w:autoSpaceDN w:val="0"/>
      <w:adjustRightInd w:val="0"/>
      <w:spacing w:after="240" w:line="250" w:lineRule="exact"/>
      <w:textAlignment w:val="baseline"/>
    </w:pPr>
    <w:rPr>
      <w:sz w:val="22"/>
      <w:szCs w:val="20"/>
      <w:lang w:val="en-US"/>
    </w:rPr>
  </w:style>
  <w:style w:type="paragraph" w:customStyle="1" w:styleId="graphic">
    <w:name w:val="graphic"/>
    <w:basedOn w:val="GeneralText"/>
    <w:rsid w:val="001A780C"/>
    <w:pPr>
      <w:spacing w:after="0" w:line="240" w:lineRule="auto"/>
      <w:jc w:val="center"/>
    </w:pPr>
  </w:style>
  <w:style w:type="paragraph" w:customStyle="1" w:styleId="tableformat">
    <w:name w:val="table format"/>
    <w:basedOn w:val="GeneralText"/>
    <w:rsid w:val="001A780C"/>
    <w:pPr>
      <w:keepNext/>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pacing w:after="0"/>
    </w:pPr>
    <w:rPr>
      <w:sz w:val="20"/>
    </w:rPr>
  </w:style>
  <w:style w:type="paragraph" w:customStyle="1" w:styleId="TableCaption">
    <w:name w:val="Table Caption"/>
    <w:basedOn w:val="FigureCaption"/>
    <w:rsid w:val="001A780C"/>
    <w:pPr>
      <w:keepNext/>
      <w:ind w:right="-90"/>
    </w:pPr>
  </w:style>
  <w:style w:type="paragraph" w:customStyle="1" w:styleId="FigureTitle4">
    <w:name w:val="Figure Title 4"/>
    <w:basedOn w:val="Normal"/>
    <w:rsid w:val="00C55A94"/>
    <w:pPr>
      <w:spacing w:before="120" w:after="160"/>
    </w:pPr>
    <w:rPr>
      <w:rFonts w:ascii="Arial" w:hAnsi="Arial"/>
      <w:lang w:val="en-US"/>
    </w:rPr>
  </w:style>
  <w:style w:type="paragraph" w:customStyle="1" w:styleId="FigureTitle2">
    <w:name w:val="Figure Title 2"/>
    <w:basedOn w:val="FigureTitle4"/>
    <w:next w:val="BodyText"/>
    <w:rsid w:val="00C55A94"/>
    <w:pPr>
      <w:keepNext/>
      <w:numPr>
        <w:numId w:val="9"/>
      </w:numPr>
      <w:outlineLvl w:val="1"/>
    </w:pPr>
  </w:style>
  <w:style w:type="paragraph" w:customStyle="1" w:styleId="FigureTitle3">
    <w:name w:val="Figure Title 3"/>
    <w:basedOn w:val="FigureTitle4"/>
    <w:next w:val="BodyText"/>
    <w:rsid w:val="00C55A94"/>
    <w:pPr>
      <w:numPr>
        <w:numId w:val="10"/>
      </w:numPr>
    </w:pPr>
  </w:style>
  <w:style w:type="paragraph" w:customStyle="1" w:styleId="TableTitle1">
    <w:name w:val="Table Title 1"/>
    <w:basedOn w:val="BodyText"/>
    <w:next w:val="BodyText"/>
    <w:rsid w:val="00C55A94"/>
    <w:pPr>
      <w:numPr>
        <w:numId w:val="14"/>
      </w:numPr>
      <w:spacing w:before="120"/>
    </w:pPr>
    <w:rPr>
      <w:rFonts w:ascii="Arial" w:hAnsi="Arial"/>
    </w:rPr>
  </w:style>
  <w:style w:type="paragraph" w:customStyle="1" w:styleId="TableTitle2">
    <w:name w:val="Table Title 2"/>
    <w:basedOn w:val="TableTitle5-tabletext"/>
    <w:next w:val="BodyText"/>
    <w:rsid w:val="00C55A94"/>
    <w:pPr>
      <w:numPr>
        <w:numId w:val="11"/>
      </w:numPr>
    </w:pPr>
  </w:style>
  <w:style w:type="paragraph" w:customStyle="1" w:styleId="TableTitle3">
    <w:name w:val="Table Title 3"/>
    <w:basedOn w:val="TableTitle5-tabletext"/>
    <w:next w:val="BodyText"/>
    <w:rsid w:val="00C55A94"/>
    <w:pPr>
      <w:keepNext/>
      <w:numPr>
        <w:numId w:val="12"/>
      </w:numPr>
      <w:spacing w:after="120"/>
    </w:pPr>
  </w:style>
  <w:style w:type="paragraph" w:customStyle="1" w:styleId="TableTitle4">
    <w:name w:val="Table Title 4"/>
    <w:basedOn w:val="TableTitle5-tabletext"/>
    <w:next w:val="BodyText"/>
    <w:rsid w:val="00C55A94"/>
    <w:pPr>
      <w:numPr>
        <w:numId w:val="13"/>
      </w:numPr>
    </w:pPr>
  </w:style>
  <w:style w:type="paragraph" w:styleId="TOCHeading">
    <w:name w:val="TOC Heading"/>
    <w:basedOn w:val="Heading1"/>
    <w:next w:val="Normal"/>
    <w:uiPriority w:val="39"/>
    <w:semiHidden/>
    <w:unhideWhenUsed/>
    <w:qFormat/>
    <w:rsid w:val="00C55A94"/>
    <w:pPr>
      <w:keepLines/>
      <w:numPr>
        <w:numId w:val="0"/>
      </w:numPr>
      <w:spacing w:before="480" w:after="0" w:line="276" w:lineRule="auto"/>
      <w:outlineLvl w:val="9"/>
    </w:pPr>
    <w:rPr>
      <w:rFonts w:ascii="Cambria" w:hAnsi="Cambria"/>
      <w:bCs/>
      <w:caps w:val="0"/>
      <w:color w:val="365F91"/>
      <w:kern w:val="0"/>
      <w:szCs w:val="28"/>
    </w:rPr>
  </w:style>
  <w:style w:type="paragraph" w:styleId="TOC1">
    <w:name w:val="toc 1"/>
    <w:basedOn w:val="Normal"/>
    <w:next w:val="Normal"/>
    <w:autoRedefine/>
    <w:uiPriority w:val="39"/>
    <w:rsid w:val="00D1420C"/>
    <w:pPr>
      <w:tabs>
        <w:tab w:val="left" w:pos="397"/>
        <w:tab w:val="right" w:leader="dot" w:pos="8630"/>
      </w:tabs>
    </w:pPr>
    <w:rPr>
      <w:b/>
    </w:rPr>
  </w:style>
  <w:style w:type="paragraph" w:styleId="TOC2">
    <w:name w:val="toc 2"/>
    <w:basedOn w:val="Normal"/>
    <w:next w:val="Normal"/>
    <w:autoRedefine/>
    <w:uiPriority w:val="39"/>
    <w:rsid w:val="00C55A94"/>
    <w:pPr>
      <w:tabs>
        <w:tab w:val="left" w:pos="426"/>
        <w:tab w:val="left" w:pos="880"/>
        <w:tab w:val="right" w:leader="dot" w:pos="8630"/>
      </w:tabs>
      <w:ind w:left="426"/>
    </w:pPr>
  </w:style>
  <w:style w:type="paragraph" w:styleId="TOC3">
    <w:name w:val="toc 3"/>
    <w:basedOn w:val="Normal"/>
    <w:next w:val="Normal"/>
    <w:autoRedefine/>
    <w:uiPriority w:val="39"/>
    <w:rsid w:val="00C55A94"/>
    <w:pPr>
      <w:tabs>
        <w:tab w:val="left" w:pos="426"/>
        <w:tab w:val="left" w:pos="851"/>
        <w:tab w:val="left" w:pos="1560"/>
        <w:tab w:val="right" w:leader="dot" w:pos="8630"/>
      </w:tabs>
      <w:ind w:left="480"/>
    </w:pPr>
  </w:style>
  <w:style w:type="paragraph" w:customStyle="1" w:styleId="Headingwithou-listoffigures">
    <w:name w:val="Heading withou #: - list of figures"/>
    <w:aliases w:val="tables etc"/>
    <w:basedOn w:val="Heading1"/>
    <w:rsid w:val="00C55A94"/>
    <w:pPr>
      <w:numPr>
        <w:numId w:val="0"/>
      </w:numPr>
    </w:pPr>
    <w:rPr>
      <w:bCs/>
      <w:sz w:val="22"/>
      <w:szCs w:val="20"/>
    </w:rPr>
  </w:style>
  <w:style w:type="paragraph" w:styleId="TableofFigures">
    <w:name w:val="table of figures"/>
    <w:basedOn w:val="Normal"/>
    <w:next w:val="Normal"/>
    <w:autoRedefine/>
    <w:uiPriority w:val="99"/>
    <w:rsid w:val="00715E62"/>
    <w:pPr>
      <w:spacing w:after="40"/>
      <w:ind w:left="1123" w:hanging="1123"/>
    </w:pPr>
  </w:style>
  <w:style w:type="character" w:styleId="CommentReference">
    <w:name w:val="annotation reference"/>
    <w:basedOn w:val="DefaultParagraphFont"/>
    <w:uiPriority w:val="99"/>
    <w:rsid w:val="00C55A94"/>
    <w:rPr>
      <w:sz w:val="16"/>
      <w:szCs w:val="16"/>
    </w:rPr>
  </w:style>
  <w:style w:type="paragraph" w:styleId="CommentText">
    <w:name w:val="annotation text"/>
    <w:basedOn w:val="Normal"/>
    <w:link w:val="CommentTextChar"/>
    <w:uiPriority w:val="99"/>
    <w:rsid w:val="00C55A94"/>
    <w:rPr>
      <w:sz w:val="20"/>
      <w:szCs w:val="20"/>
    </w:rPr>
  </w:style>
  <w:style w:type="character" w:customStyle="1" w:styleId="CommentTextChar">
    <w:name w:val="Comment Text Char"/>
    <w:basedOn w:val="DefaultParagraphFont"/>
    <w:link w:val="CommentText"/>
    <w:uiPriority w:val="99"/>
    <w:rsid w:val="00C55A94"/>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C55A94"/>
    <w:rPr>
      <w:b/>
      <w:bCs/>
    </w:rPr>
  </w:style>
  <w:style w:type="character" w:customStyle="1" w:styleId="CommentSubjectChar">
    <w:name w:val="Comment Subject Char"/>
    <w:basedOn w:val="CommentTextChar"/>
    <w:link w:val="CommentSubject"/>
    <w:rsid w:val="00C55A94"/>
    <w:rPr>
      <w:b/>
      <w:bCs/>
    </w:rPr>
  </w:style>
  <w:style w:type="paragraph" w:customStyle="1" w:styleId="Headingwithout-TOC">
    <w:name w:val="Heading without #:  - TOC"/>
    <w:aliases w:val="Exec S"/>
    <w:basedOn w:val="Heading1"/>
    <w:rsid w:val="00C55A94"/>
    <w:pPr>
      <w:numPr>
        <w:numId w:val="0"/>
      </w:numPr>
    </w:pPr>
    <w:rPr>
      <w:bCs/>
      <w:szCs w:val="20"/>
    </w:rPr>
  </w:style>
  <w:style w:type="paragraph" w:customStyle="1" w:styleId="ArialBold-titlepagelargetxt">
    <w:name w:val="Arial Bold - title page large txt"/>
    <w:basedOn w:val="ArialBoldRight-titlepagesmalltxt"/>
    <w:rsid w:val="00C55A94"/>
    <w:pPr>
      <w:jc w:val="center"/>
    </w:pPr>
    <w:rPr>
      <w:sz w:val="36"/>
    </w:rPr>
  </w:style>
  <w:style w:type="paragraph" w:customStyle="1" w:styleId="ArialBoldRight-titlepagesmalltxt">
    <w:name w:val="Arial Bold Right - title page small txt"/>
    <w:basedOn w:val="Normal"/>
    <w:rsid w:val="00C55A94"/>
    <w:pPr>
      <w:jc w:val="right"/>
    </w:pPr>
    <w:rPr>
      <w:rFonts w:ascii="Arial" w:hAnsi="Arial"/>
      <w:b/>
      <w:bCs/>
      <w:szCs w:val="20"/>
    </w:rPr>
  </w:style>
  <w:style w:type="paragraph" w:customStyle="1" w:styleId="TableTitle5-tabletext-bullets">
    <w:name w:val="Table Title 5 - table text - bullets"/>
    <w:basedOn w:val="TableTitle5-tabletext"/>
    <w:qFormat/>
    <w:rsid w:val="00C55A94"/>
    <w:pPr>
      <w:numPr>
        <w:numId w:val="15"/>
      </w:numPr>
      <w:ind w:left="714" w:hanging="357"/>
    </w:pPr>
  </w:style>
  <w:style w:type="paragraph" w:styleId="TOC4">
    <w:name w:val="toc 4"/>
    <w:basedOn w:val="Normal"/>
    <w:next w:val="Normal"/>
    <w:autoRedefine/>
    <w:uiPriority w:val="39"/>
    <w:rsid w:val="00C55A94"/>
    <w:pPr>
      <w:spacing w:after="100"/>
      <w:ind w:left="720"/>
    </w:pPr>
  </w:style>
  <w:style w:type="character" w:customStyle="1" w:styleId="Style16ptBoldBlack">
    <w:name w:val="Style 16 pt Bold Black"/>
    <w:basedOn w:val="DefaultParagraphFont"/>
    <w:rsid w:val="00C55A94"/>
    <w:rPr>
      <w:rFonts w:ascii="Arial" w:hAnsi="Arial"/>
      <w:b/>
      <w:bCs/>
      <w:color w:val="000000"/>
      <w:sz w:val="28"/>
    </w:rPr>
  </w:style>
  <w:style w:type="paragraph" w:customStyle="1" w:styleId="Arialbold16ptcentredtitlepagetext">
    <w:name w:val="Arial bold 16pt centred title page text"/>
    <w:basedOn w:val="Normal"/>
    <w:qFormat/>
    <w:rsid w:val="00C55A94"/>
    <w:pPr>
      <w:jc w:val="center"/>
    </w:pPr>
    <w:rPr>
      <w:rFonts w:ascii="Arial" w:hAnsi="Arial"/>
      <w:b/>
      <w:bCs/>
      <w:color w:val="000000"/>
      <w:sz w:val="32"/>
    </w:rPr>
  </w:style>
  <w:style w:type="paragraph" w:customStyle="1" w:styleId="StyleBodyText11ptsuperscr">
    <w:name w:val="Style Body Text + 11 pt + superscr"/>
    <w:basedOn w:val="BodyText"/>
    <w:rsid w:val="00C55A94"/>
    <w:rPr>
      <w:sz w:val="22"/>
    </w:rPr>
  </w:style>
  <w:style w:type="paragraph" w:customStyle="1" w:styleId="NumberList-last">
    <w:name w:val="Number List - last"/>
    <w:basedOn w:val="NumberList"/>
    <w:rsid w:val="00C55A94"/>
    <w:pPr>
      <w:numPr>
        <w:numId w:val="0"/>
      </w:numPr>
      <w:spacing w:after="240"/>
      <w:ind w:left="979" w:hanging="259"/>
    </w:pPr>
  </w:style>
  <w:style w:type="paragraph" w:customStyle="1" w:styleId="References">
    <w:name w:val="References"/>
    <w:basedOn w:val="Normal"/>
    <w:uiPriority w:val="99"/>
    <w:rsid w:val="002953CB"/>
    <w:pPr>
      <w:tabs>
        <w:tab w:val="left" w:pos="720"/>
      </w:tabs>
      <w:suppressAutoHyphens/>
      <w:overflowPunct w:val="0"/>
      <w:autoSpaceDE w:val="0"/>
      <w:autoSpaceDN w:val="0"/>
      <w:adjustRightInd w:val="0"/>
      <w:spacing w:before="40"/>
      <w:ind w:left="187" w:hanging="187"/>
      <w:textAlignment w:val="baseline"/>
    </w:pPr>
    <w:rPr>
      <w:rFonts w:ascii="Times" w:hAnsi="Times" w:cs="Times"/>
      <w:sz w:val="20"/>
      <w:szCs w:val="20"/>
      <w:lang w:val="en-US"/>
    </w:rPr>
  </w:style>
  <w:style w:type="paragraph" w:styleId="PlainText">
    <w:name w:val="Plain Text"/>
    <w:basedOn w:val="Normal"/>
    <w:link w:val="PlainTextChar"/>
    <w:uiPriority w:val="99"/>
    <w:semiHidden/>
    <w:unhideWhenUsed/>
    <w:rsid w:val="00A6073C"/>
    <w:rPr>
      <w:rFonts w:ascii="Consolas" w:eastAsiaTheme="minorHAnsi" w:hAnsi="Consolas" w:cstheme="minorBidi"/>
      <w:sz w:val="21"/>
      <w:szCs w:val="21"/>
      <w:lang w:val="en-US"/>
    </w:rPr>
  </w:style>
  <w:style w:type="character" w:customStyle="1" w:styleId="PlainTextChar">
    <w:name w:val="Plain Text Char"/>
    <w:basedOn w:val="DefaultParagraphFont"/>
    <w:link w:val="PlainText"/>
    <w:uiPriority w:val="99"/>
    <w:semiHidden/>
    <w:rsid w:val="00A6073C"/>
    <w:rPr>
      <w:rFonts w:ascii="Consolas" w:hAnsi="Consolas"/>
      <w:sz w:val="21"/>
      <w:szCs w:val="21"/>
      <w:lang w:val="en-US"/>
    </w:rPr>
  </w:style>
  <w:style w:type="table" w:styleId="LightList-Accent1">
    <w:name w:val="Light List Accent 1"/>
    <w:basedOn w:val="TableNormal"/>
    <w:uiPriority w:val="61"/>
    <w:rsid w:val="002B4C72"/>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r="http://schemas.openxmlformats.org/officeDocument/2006/relationships" xmlns:w="http://schemas.openxmlformats.org/wordprocessingml/2006/main">
  <w:divs>
    <w:div w:id="223488753">
      <w:bodyDiv w:val="1"/>
      <w:marLeft w:val="0"/>
      <w:marRight w:val="0"/>
      <w:marTop w:val="0"/>
      <w:marBottom w:val="0"/>
      <w:divBdr>
        <w:top w:val="none" w:sz="0" w:space="0" w:color="auto"/>
        <w:left w:val="none" w:sz="0" w:space="0" w:color="auto"/>
        <w:bottom w:val="none" w:sz="0" w:space="0" w:color="auto"/>
        <w:right w:val="none" w:sz="0" w:space="0" w:color="auto"/>
      </w:divBdr>
    </w:div>
    <w:div w:id="294482660">
      <w:bodyDiv w:val="1"/>
      <w:marLeft w:val="0"/>
      <w:marRight w:val="0"/>
      <w:marTop w:val="0"/>
      <w:marBottom w:val="0"/>
      <w:divBdr>
        <w:top w:val="none" w:sz="0" w:space="0" w:color="auto"/>
        <w:left w:val="none" w:sz="0" w:space="0" w:color="auto"/>
        <w:bottom w:val="none" w:sz="0" w:space="0" w:color="auto"/>
        <w:right w:val="none" w:sz="0" w:space="0" w:color="auto"/>
      </w:divBdr>
      <w:divsChild>
        <w:div w:id="723062149">
          <w:marLeft w:val="547"/>
          <w:marRight w:val="0"/>
          <w:marTop w:val="115"/>
          <w:marBottom w:val="0"/>
          <w:divBdr>
            <w:top w:val="none" w:sz="0" w:space="0" w:color="auto"/>
            <w:left w:val="none" w:sz="0" w:space="0" w:color="auto"/>
            <w:bottom w:val="none" w:sz="0" w:space="0" w:color="auto"/>
            <w:right w:val="none" w:sz="0" w:space="0" w:color="auto"/>
          </w:divBdr>
        </w:div>
        <w:div w:id="767846688">
          <w:marLeft w:val="547"/>
          <w:marRight w:val="0"/>
          <w:marTop w:val="115"/>
          <w:marBottom w:val="0"/>
          <w:divBdr>
            <w:top w:val="none" w:sz="0" w:space="0" w:color="auto"/>
            <w:left w:val="none" w:sz="0" w:space="0" w:color="auto"/>
            <w:bottom w:val="none" w:sz="0" w:space="0" w:color="auto"/>
            <w:right w:val="none" w:sz="0" w:space="0" w:color="auto"/>
          </w:divBdr>
        </w:div>
      </w:divsChild>
    </w:div>
    <w:div w:id="296573347">
      <w:bodyDiv w:val="1"/>
      <w:marLeft w:val="0"/>
      <w:marRight w:val="0"/>
      <w:marTop w:val="0"/>
      <w:marBottom w:val="0"/>
      <w:divBdr>
        <w:top w:val="none" w:sz="0" w:space="0" w:color="auto"/>
        <w:left w:val="none" w:sz="0" w:space="0" w:color="auto"/>
        <w:bottom w:val="none" w:sz="0" w:space="0" w:color="auto"/>
        <w:right w:val="none" w:sz="0" w:space="0" w:color="auto"/>
      </w:divBdr>
    </w:div>
    <w:div w:id="634944233">
      <w:bodyDiv w:val="1"/>
      <w:marLeft w:val="0"/>
      <w:marRight w:val="0"/>
      <w:marTop w:val="0"/>
      <w:marBottom w:val="0"/>
      <w:divBdr>
        <w:top w:val="none" w:sz="0" w:space="0" w:color="auto"/>
        <w:left w:val="none" w:sz="0" w:space="0" w:color="auto"/>
        <w:bottom w:val="none" w:sz="0" w:space="0" w:color="auto"/>
        <w:right w:val="none" w:sz="0" w:space="0" w:color="auto"/>
      </w:divBdr>
    </w:div>
    <w:div w:id="799297648">
      <w:bodyDiv w:val="1"/>
      <w:marLeft w:val="0"/>
      <w:marRight w:val="0"/>
      <w:marTop w:val="0"/>
      <w:marBottom w:val="0"/>
      <w:divBdr>
        <w:top w:val="none" w:sz="0" w:space="0" w:color="auto"/>
        <w:left w:val="none" w:sz="0" w:space="0" w:color="auto"/>
        <w:bottom w:val="none" w:sz="0" w:space="0" w:color="auto"/>
        <w:right w:val="none" w:sz="0" w:space="0" w:color="auto"/>
      </w:divBdr>
    </w:div>
    <w:div w:id="861476249">
      <w:bodyDiv w:val="1"/>
      <w:marLeft w:val="0"/>
      <w:marRight w:val="0"/>
      <w:marTop w:val="0"/>
      <w:marBottom w:val="0"/>
      <w:divBdr>
        <w:top w:val="none" w:sz="0" w:space="0" w:color="auto"/>
        <w:left w:val="none" w:sz="0" w:space="0" w:color="auto"/>
        <w:bottom w:val="none" w:sz="0" w:space="0" w:color="auto"/>
        <w:right w:val="none" w:sz="0" w:space="0" w:color="auto"/>
      </w:divBdr>
    </w:div>
    <w:div w:id="1238050139">
      <w:bodyDiv w:val="1"/>
      <w:marLeft w:val="0"/>
      <w:marRight w:val="0"/>
      <w:marTop w:val="0"/>
      <w:marBottom w:val="0"/>
      <w:divBdr>
        <w:top w:val="none" w:sz="0" w:space="0" w:color="auto"/>
        <w:left w:val="none" w:sz="0" w:space="0" w:color="auto"/>
        <w:bottom w:val="none" w:sz="0" w:space="0" w:color="auto"/>
        <w:right w:val="none" w:sz="0" w:space="0" w:color="auto"/>
      </w:divBdr>
      <w:divsChild>
        <w:div w:id="488324078">
          <w:marLeft w:val="1166"/>
          <w:marRight w:val="0"/>
          <w:marTop w:val="91"/>
          <w:marBottom w:val="0"/>
          <w:divBdr>
            <w:top w:val="none" w:sz="0" w:space="0" w:color="auto"/>
            <w:left w:val="none" w:sz="0" w:space="0" w:color="auto"/>
            <w:bottom w:val="none" w:sz="0" w:space="0" w:color="auto"/>
            <w:right w:val="none" w:sz="0" w:space="0" w:color="auto"/>
          </w:divBdr>
        </w:div>
        <w:div w:id="852260946">
          <w:marLeft w:val="1166"/>
          <w:marRight w:val="0"/>
          <w:marTop w:val="91"/>
          <w:marBottom w:val="0"/>
          <w:divBdr>
            <w:top w:val="none" w:sz="0" w:space="0" w:color="auto"/>
            <w:left w:val="none" w:sz="0" w:space="0" w:color="auto"/>
            <w:bottom w:val="none" w:sz="0" w:space="0" w:color="auto"/>
            <w:right w:val="none" w:sz="0" w:space="0" w:color="auto"/>
          </w:divBdr>
        </w:div>
        <w:div w:id="2067298722">
          <w:marLeft w:val="1166"/>
          <w:marRight w:val="0"/>
          <w:marTop w:val="91"/>
          <w:marBottom w:val="0"/>
          <w:divBdr>
            <w:top w:val="none" w:sz="0" w:space="0" w:color="auto"/>
            <w:left w:val="none" w:sz="0" w:space="0" w:color="auto"/>
            <w:bottom w:val="none" w:sz="0" w:space="0" w:color="auto"/>
            <w:right w:val="none" w:sz="0" w:space="0" w:color="auto"/>
          </w:divBdr>
        </w:div>
        <w:div w:id="1709453841">
          <w:marLeft w:val="1166"/>
          <w:marRight w:val="0"/>
          <w:marTop w:val="91"/>
          <w:marBottom w:val="0"/>
          <w:divBdr>
            <w:top w:val="none" w:sz="0" w:space="0" w:color="auto"/>
            <w:left w:val="none" w:sz="0" w:space="0" w:color="auto"/>
            <w:bottom w:val="none" w:sz="0" w:space="0" w:color="auto"/>
            <w:right w:val="none" w:sz="0" w:space="0" w:color="auto"/>
          </w:divBdr>
        </w:div>
      </w:divsChild>
    </w:div>
    <w:div w:id="1277129946">
      <w:bodyDiv w:val="1"/>
      <w:marLeft w:val="0"/>
      <w:marRight w:val="0"/>
      <w:marTop w:val="0"/>
      <w:marBottom w:val="0"/>
      <w:divBdr>
        <w:top w:val="none" w:sz="0" w:space="0" w:color="auto"/>
        <w:left w:val="none" w:sz="0" w:space="0" w:color="auto"/>
        <w:bottom w:val="none" w:sz="0" w:space="0" w:color="auto"/>
        <w:right w:val="none" w:sz="0" w:space="0" w:color="auto"/>
      </w:divBdr>
    </w:div>
    <w:div w:id="1373918608">
      <w:bodyDiv w:val="1"/>
      <w:marLeft w:val="0"/>
      <w:marRight w:val="0"/>
      <w:marTop w:val="0"/>
      <w:marBottom w:val="0"/>
      <w:divBdr>
        <w:top w:val="none" w:sz="0" w:space="0" w:color="auto"/>
        <w:left w:val="none" w:sz="0" w:space="0" w:color="auto"/>
        <w:bottom w:val="none" w:sz="0" w:space="0" w:color="auto"/>
        <w:right w:val="none" w:sz="0" w:space="0" w:color="auto"/>
      </w:divBdr>
    </w:div>
    <w:div w:id="1421487557">
      <w:bodyDiv w:val="1"/>
      <w:marLeft w:val="0"/>
      <w:marRight w:val="0"/>
      <w:marTop w:val="0"/>
      <w:marBottom w:val="0"/>
      <w:divBdr>
        <w:top w:val="none" w:sz="0" w:space="0" w:color="auto"/>
        <w:left w:val="none" w:sz="0" w:space="0" w:color="auto"/>
        <w:bottom w:val="none" w:sz="0" w:space="0" w:color="auto"/>
        <w:right w:val="none" w:sz="0" w:space="0" w:color="auto"/>
      </w:divBdr>
      <w:divsChild>
        <w:div w:id="1629700718">
          <w:marLeft w:val="547"/>
          <w:marRight w:val="0"/>
          <w:marTop w:val="154"/>
          <w:marBottom w:val="0"/>
          <w:divBdr>
            <w:top w:val="none" w:sz="0" w:space="0" w:color="auto"/>
            <w:left w:val="none" w:sz="0" w:space="0" w:color="auto"/>
            <w:bottom w:val="none" w:sz="0" w:space="0" w:color="auto"/>
            <w:right w:val="none" w:sz="0" w:space="0" w:color="auto"/>
          </w:divBdr>
        </w:div>
        <w:div w:id="303628650">
          <w:marLeft w:val="547"/>
          <w:marRight w:val="0"/>
          <w:marTop w:val="154"/>
          <w:marBottom w:val="0"/>
          <w:divBdr>
            <w:top w:val="none" w:sz="0" w:space="0" w:color="auto"/>
            <w:left w:val="none" w:sz="0" w:space="0" w:color="auto"/>
            <w:bottom w:val="none" w:sz="0" w:space="0" w:color="auto"/>
            <w:right w:val="none" w:sz="0" w:space="0" w:color="auto"/>
          </w:divBdr>
        </w:div>
        <w:div w:id="1499223426">
          <w:marLeft w:val="547"/>
          <w:marRight w:val="0"/>
          <w:marTop w:val="154"/>
          <w:marBottom w:val="0"/>
          <w:divBdr>
            <w:top w:val="none" w:sz="0" w:space="0" w:color="auto"/>
            <w:left w:val="none" w:sz="0" w:space="0" w:color="auto"/>
            <w:bottom w:val="none" w:sz="0" w:space="0" w:color="auto"/>
            <w:right w:val="none" w:sz="0" w:space="0" w:color="auto"/>
          </w:divBdr>
        </w:div>
        <w:div w:id="163933831">
          <w:marLeft w:val="547"/>
          <w:marRight w:val="0"/>
          <w:marTop w:val="154"/>
          <w:marBottom w:val="0"/>
          <w:divBdr>
            <w:top w:val="none" w:sz="0" w:space="0" w:color="auto"/>
            <w:left w:val="none" w:sz="0" w:space="0" w:color="auto"/>
            <w:bottom w:val="none" w:sz="0" w:space="0" w:color="auto"/>
            <w:right w:val="none" w:sz="0" w:space="0" w:color="auto"/>
          </w:divBdr>
        </w:div>
      </w:divsChild>
    </w:div>
    <w:div w:id="1530484015">
      <w:bodyDiv w:val="1"/>
      <w:marLeft w:val="0"/>
      <w:marRight w:val="0"/>
      <w:marTop w:val="0"/>
      <w:marBottom w:val="0"/>
      <w:divBdr>
        <w:top w:val="none" w:sz="0" w:space="0" w:color="auto"/>
        <w:left w:val="none" w:sz="0" w:space="0" w:color="auto"/>
        <w:bottom w:val="none" w:sz="0" w:space="0" w:color="auto"/>
        <w:right w:val="none" w:sz="0" w:space="0" w:color="auto"/>
      </w:divBdr>
    </w:div>
    <w:div w:id="1591088129">
      <w:bodyDiv w:val="1"/>
      <w:marLeft w:val="0"/>
      <w:marRight w:val="0"/>
      <w:marTop w:val="0"/>
      <w:marBottom w:val="0"/>
      <w:divBdr>
        <w:top w:val="none" w:sz="0" w:space="0" w:color="auto"/>
        <w:left w:val="none" w:sz="0" w:space="0" w:color="auto"/>
        <w:bottom w:val="none" w:sz="0" w:space="0" w:color="auto"/>
        <w:right w:val="none" w:sz="0" w:space="0" w:color="auto"/>
      </w:divBdr>
    </w:div>
    <w:div w:id="1598978254">
      <w:bodyDiv w:val="1"/>
      <w:marLeft w:val="0"/>
      <w:marRight w:val="0"/>
      <w:marTop w:val="0"/>
      <w:marBottom w:val="0"/>
      <w:divBdr>
        <w:top w:val="none" w:sz="0" w:space="0" w:color="auto"/>
        <w:left w:val="none" w:sz="0" w:space="0" w:color="auto"/>
        <w:bottom w:val="none" w:sz="0" w:space="0" w:color="auto"/>
        <w:right w:val="none" w:sz="0" w:space="0" w:color="auto"/>
      </w:divBdr>
    </w:div>
    <w:div w:id="1627269784">
      <w:bodyDiv w:val="1"/>
      <w:marLeft w:val="0"/>
      <w:marRight w:val="0"/>
      <w:marTop w:val="0"/>
      <w:marBottom w:val="0"/>
      <w:divBdr>
        <w:top w:val="none" w:sz="0" w:space="0" w:color="auto"/>
        <w:left w:val="none" w:sz="0" w:space="0" w:color="auto"/>
        <w:bottom w:val="none" w:sz="0" w:space="0" w:color="auto"/>
        <w:right w:val="none" w:sz="0" w:space="0" w:color="auto"/>
      </w:divBdr>
    </w:div>
    <w:div w:id="1630630325">
      <w:bodyDiv w:val="1"/>
      <w:marLeft w:val="0"/>
      <w:marRight w:val="0"/>
      <w:marTop w:val="0"/>
      <w:marBottom w:val="0"/>
      <w:divBdr>
        <w:top w:val="none" w:sz="0" w:space="0" w:color="auto"/>
        <w:left w:val="none" w:sz="0" w:space="0" w:color="auto"/>
        <w:bottom w:val="none" w:sz="0" w:space="0" w:color="auto"/>
        <w:right w:val="none" w:sz="0" w:space="0" w:color="auto"/>
      </w:divBdr>
      <w:divsChild>
        <w:div w:id="1892954622">
          <w:marLeft w:val="547"/>
          <w:marRight w:val="0"/>
          <w:marTop w:val="115"/>
          <w:marBottom w:val="0"/>
          <w:divBdr>
            <w:top w:val="none" w:sz="0" w:space="0" w:color="auto"/>
            <w:left w:val="none" w:sz="0" w:space="0" w:color="auto"/>
            <w:bottom w:val="none" w:sz="0" w:space="0" w:color="auto"/>
            <w:right w:val="none" w:sz="0" w:space="0" w:color="auto"/>
          </w:divBdr>
        </w:div>
        <w:div w:id="18245752">
          <w:marLeft w:val="547"/>
          <w:marRight w:val="0"/>
          <w:marTop w:val="1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1.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196" Type="http://schemas.openxmlformats.org/officeDocument/2006/relationships/hyperlink" Target="http://www.srd.gov.ab.ca/fishwildlife/livingwith/huntingalberta/northernmoosemanagement/default.aspx" TargetMode="External"/><Relationship Id="rId200" Type="http://schemas.openxmlformats.org/officeDocument/2006/relationships/fontTable" Target="fontTable.xml"/><Relationship Id="rId16" Type="http://schemas.openxmlformats.org/officeDocument/2006/relationships/image" Target="media/image6.png"/><Relationship Id="rId107" Type="http://schemas.openxmlformats.org/officeDocument/2006/relationships/image" Target="media/image96.png"/><Relationship Id="rId11" Type="http://schemas.openxmlformats.org/officeDocument/2006/relationships/image" Target="media/image2.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image" Target="media/image117.png"/><Relationship Id="rId144" Type="http://schemas.openxmlformats.org/officeDocument/2006/relationships/image" Target="media/image131.png"/><Relationship Id="rId149" Type="http://schemas.openxmlformats.org/officeDocument/2006/relationships/image" Target="media/image136.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160" Type="http://schemas.openxmlformats.org/officeDocument/2006/relationships/image" Target="media/image147.png"/><Relationship Id="rId165" Type="http://schemas.openxmlformats.org/officeDocument/2006/relationships/image" Target="media/image152.png"/><Relationship Id="rId181" Type="http://schemas.openxmlformats.org/officeDocument/2006/relationships/image" Target="media/image168.png"/><Relationship Id="rId186" Type="http://schemas.openxmlformats.org/officeDocument/2006/relationships/image" Target="media/image173.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hyperlink" Target="http://www.abll.ca" TargetMode="External"/><Relationship Id="rId139" Type="http://schemas.openxmlformats.org/officeDocument/2006/relationships/image" Target="media/image126.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7.png"/><Relationship Id="rId155" Type="http://schemas.openxmlformats.org/officeDocument/2006/relationships/image" Target="media/image142.png"/><Relationship Id="rId171" Type="http://schemas.openxmlformats.org/officeDocument/2006/relationships/image" Target="media/image158.png"/><Relationship Id="rId176" Type="http://schemas.openxmlformats.org/officeDocument/2006/relationships/image" Target="media/image163.png"/><Relationship Id="rId192" Type="http://schemas.openxmlformats.org/officeDocument/2006/relationships/image" Target="media/image179.png"/><Relationship Id="rId197" Type="http://schemas.openxmlformats.org/officeDocument/2006/relationships/hyperlink" Target="http://www.cemaonline.ca/content/view/75/148/" TargetMode="External"/><Relationship Id="rId201" Type="http://schemas.openxmlformats.org/officeDocument/2006/relationships/theme" Target="theme/theme1.xml"/><Relationship Id="rId12" Type="http://schemas.openxmlformats.org/officeDocument/2006/relationships/image" Target="media/image3.png"/><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7.png"/><Relationship Id="rId145" Type="http://schemas.openxmlformats.org/officeDocument/2006/relationships/image" Target="media/image132.png"/><Relationship Id="rId161" Type="http://schemas.openxmlformats.org/officeDocument/2006/relationships/image" Target="media/image148.png"/><Relationship Id="rId166" Type="http://schemas.openxmlformats.org/officeDocument/2006/relationships/image" Target="media/image153.png"/><Relationship Id="rId182" Type="http://schemas.openxmlformats.org/officeDocument/2006/relationships/image" Target="media/image169.png"/><Relationship Id="rId187" Type="http://schemas.openxmlformats.org/officeDocument/2006/relationships/image" Target="media/image17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png"/><Relationship Id="rId135" Type="http://schemas.openxmlformats.org/officeDocument/2006/relationships/image" Target="media/image122.png"/><Relationship Id="rId151" Type="http://schemas.openxmlformats.org/officeDocument/2006/relationships/image" Target="media/image138.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3.emf"/><Relationship Id="rId172" Type="http://schemas.openxmlformats.org/officeDocument/2006/relationships/image" Target="media/image159.png"/><Relationship Id="rId193" Type="http://schemas.openxmlformats.org/officeDocument/2006/relationships/image" Target="media/image180.png"/><Relationship Id="rId13" Type="http://schemas.openxmlformats.org/officeDocument/2006/relationships/footer" Target="footer2.xml"/><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4.jpeg"/><Relationship Id="rId188" Type="http://schemas.openxmlformats.org/officeDocument/2006/relationships/image" Target="media/image175.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49.png"/><Relationship Id="rId183" Type="http://schemas.openxmlformats.org/officeDocument/2006/relationships/image" Target="media/image170.png"/><Relationship Id="rId2" Type="http://schemas.openxmlformats.org/officeDocument/2006/relationships/numbering" Target="numbering.xml"/><Relationship Id="rId29" Type="http://schemas.openxmlformats.org/officeDocument/2006/relationships/header" Target="header1.xml"/><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199" Type="http://schemas.openxmlformats.org/officeDocument/2006/relationships/image" Target="media/image184.emf"/><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189" Type="http://schemas.openxmlformats.org/officeDocument/2006/relationships/image" Target="media/image176.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png"/><Relationship Id="rId190" Type="http://schemas.openxmlformats.org/officeDocument/2006/relationships/image" Target="media/image177.png"/><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footer" Target="footer1.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settings" Target="settings.xml"/><Relationship Id="rId9" Type="http://schemas.openxmlformats.org/officeDocument/2006/relationships/hyperlink" Target="http://www.alces.ca" TargetMode="External"/><Relationship Id="rId180" Type="http://schemas.openxmlformats.org/officeDocument/2006/relationships/image" Target="media/image167.png"/><Relationship Id="rId26" Type="http://schemas.openxmlformats.org/officeDocument/2006/relationships/image" Target="media/image16.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hyperlink" Target="http://www.westernfeedlots.com/index.php?id=31" TargetMode="External"/><Relationship Id="rId154" Type="http://schemas.openxmlformats.org/officeDocument/2006/relationships/image" Target="media/image141.png"/><Relationship Id="rId175" Type="http://schemas.openxmlformats.org/officeDocument/2006/relationships/image" Target="media/image1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FACBBEC-A501-4EE5-A879-EBB46FA7D4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TotalTime>
  <Pages>200</Pages>
  <Words>40497</Words>
  <Characters>230835</Characters>
  <Application>Microsoft Office Word</Application>
  <DocSecurity>0</DocSecurity>
  <Lines>1923</Lines>
  <Paragraphs>541</Paragraphs>
  <ScaleCrop>false</ScaleCrop>
  <HeadingPairs>
    <vt:vector size="2" baseType="variant">
      <vt:variant>
        <vt:lpstr>Title</vt:lpstr>
      </vt:variant>
      <vt:variant>
        <vt:i4>1</vt:i4>
      </vt:variant>
    </vt:vector>
  </HeadingPairs>
  <TitlesOfParts>
    <vt:vector size="1" baseType="lpstr">
      <vt:lpstr/>
    </vt:vector>
  </TitlesOfParts>
  <Company>Alces Group</Company>
  <LinksUpToDate>false</LinksUpToDate>
  <CharactersWithSpaces>270791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Cornel</dc:creator>
  <cp:lastModifiedBy>Brad Stelfox</cp:lastModifiedBy>
  <cp:revision>18</cp:revision>
  <cp:lastPrinted>2012-06-03T07:37:00Z</cp:lastPrinted>
  <dcterms:created xsi:type="dcterms:W3CDTF">2012-06-09T14:10:00Z</dcterms:created>
  <dcterms:modified xsi:type="dcterms:W3CDTF">2012-10-23T03:13:00Z</dcterms:modified>
</cp:coreProperties>
</file>